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11" w:rsidRPr="00B8369A" w:rsidRDefault="00B8369A" w:rsidP="00FF4A1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                         </w:t>
      </w:r>
      <w:r w:rsidRPr="00B8369A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</w:t>
      </w:r>
      <w:r w:rsidR="00FF4A11" w:rsidRPr="00B8369A">
        <w:rPr>
          <w:rFonts w:ascii="Times New Roman" w:eastAsia="Times New Roman" w:hAnsi="Times New Roman" w:cs="Times New Roman"/>
          <w:b/>
          <w:noProof/>
          <w:color w:val="365F91"/>
          <w:sz w:val="32"/>
          <w:szCs w:val="32"/>
        </w:rPr>
        <w:drawing>
          <wp:inline distT="0" distB="0" distL="0" distR="0">
            <wp:extent cx="504825" cy="600075"/>
            <wp:effectExtent l="0" t="0" r="0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F4A11" w:rsidRPr="00B8369A" w:rsidRDefault="00B8369A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КИСЛИНСКИЙ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 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АСЕКЕЕВСКОГО  РАЙОНА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ОРЕНБУРГСКОЙ  ОБЛАСТИ </w:t>
      </w:r>
    </w:p>
    <w:p w:rsidR="00FF4A11" w:rsidRPr="00B8369A" w:rsidRDefault="00FF4A11" w:rsidP="00FF4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4A11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B8369A" w:rsidRPr="00B8369A" w:rsidRDefault="00B8369A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4A11" w:rsidRPr="00B8369A" w:rsidRDefault="00B8369A" w:rsidP="00B836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>.08.202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0                    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село Кисла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№ 37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>-п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5F1C" w:rsidRPr="00B8369A" w:rsidRDefault="00DE5F1C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5F1C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bookmarkStart w:id="0" w:name="_GoBack"/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Об утверждении 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муниципальной </w:t>
      </w: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>программы</w:t>
      </w:r>
    </w:p>
    <w:p w:rsidR="00A65C29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развития муниципальной службы в 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b/>
          <w:iCs/>
          <w:sz w:val="32"/>
          <w:szCs w:val="32"/>
        </w:rPr>
        <w:t>Кислинский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сельсовет Асекеевского района </w:t>
      </w: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Оренбургской области </w:t>
      </w:r>
    </w:p>
    <w:p w:rsidR="00DE5F1C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>на 2020 – 2024 годы</w:t>
      </w:r>
    </w:p>
    <w:bookmarkEnd w:id="0"/>
    <w:p w:rsidR="00DE5F1C" w:rsidRPr="00DE5F1C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E5F1C" w:rsidRPr="00DE5F1C" w:rsidRDefault="00DE5F1C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</w:t>
      </w:r>
      <w:hyperlink r:id="rId9" w:history="1">
        <w:r w:rsidRPr="00DE5F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                      от 10 октября 2007 года №1611/339-</w:t>
      </w:r>
      <w:r w:rsidRPr="00DE5F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V-ОЗ «О муниципальной службе в Оренбургской области»,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Устава муниципального образования</w:t>
      </w:r>
      <w:r w:rsidR="00A65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A65C29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постановляет</w:t>
      </w:r>
      <w:r w:rsidRPr="00DE5F1C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5F1C" w:rsidRPr="00DE5F1C" w:rsidRDefault="00361341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1. Утвердить муниципальную 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программу развития муниципальной службы в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муниципальном образовании </w:t>
      </w:r>
      <w:r w:rsidR="00B8369A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Кислинский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сельсовет Асекеевского района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Оренбургско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й области на 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2020 – 2024 годы (далее – Программа) согласно приложению.</w:t>
      </w:r>
    </w:p>
    <w:p w:rsidR="00DE5F1C" w:rsidRPr="00DE5F1C" w:rsidRDefault="00361341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E5F1C" w:rsidRPr="00DE5F1C" w:rsidRDefault="00361341" w:rsidP="00DE5F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E5F1C" w:rsidRPr="00DE5F1C" w:rsidRDefault="00DE5F1C" w:rsidP="00DE5F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B8369A" w:rsidP="00DE5F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И.О. Главы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Н.В. Кутырева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DE5F1C" w:rsidRPr="00DE5F1C" w:rsidTr="00702315">
        <w:tc>
          <w:tcPr>
            <w:tcW w:w="507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01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1341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61341" w:rsidRDefault="00361341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1341" w:rsidRDefault="00B8369A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E5F1C" w:rsidRPr="00DE5F1C" w:rsidRDefault="00B8369A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.08.2020 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E5F1C" w:rsidRPr="00DE5F1C" w:rsidRDefault="00361341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61341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2020 - 2024 годы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</w:p>
    <w:p w:rsidR="00361341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2020 - 2024 годы</w:t>
      </w:r>
    </w:p>
    <w:p w:rsidR="00DE5F1C" w:rsidRPr="00DE5F1C" w:rsidRDefault="00DE5F1C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(далее - Программа)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4F5EC9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престижа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результативности профессиональной служебной деятельности муниципальных служащих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муниципальной службы как вида профессиональной деятельности;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мероприятий по профессиональному развитию муниципальных служащих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в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текущих расходов органа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особенностями ее прохождения;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DE5F1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всесторонней оценки профессиональной служебной деятельности государственных гражданских служащих, разработанная Министерством труда и социальной защиты Российской Федерации;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квалифицированных специалистов на муниципальной службе;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DE5F1C" w:rsidRPr="00DE5F1C" w:rsidRDefault="004F5EC9" w:rsidP="00DE5F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lastRenderedPageBreak/>
        <w:br w:type="textWrapping" w:clear="all"/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настоящее время развитию муниципальной службы присущи следующие проблемы: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эффективности использования резерва управленческих ка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>дров и кадрового резерва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 xml:space="preserve">го самоуправления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как основного источника обновления и пополнения кадрового состава муниципальной службы;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престижа муниципальной службы как вида профессиональной деятельности.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базы как на федеральном, так и на региональном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решения перечисленны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х проблем органу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0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               от 2 марта 2007 года №25-ФЗ «О муниципальной службе в Российской Федерации», согласно </w:t>
      </w:r>
      <w:hyperlink r:id="rId11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статье 35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контроль за выполнением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реализация мероприятий Программы приведет к созданию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повышению ее роли и престижа, эффективности и результативности проводимой кадровой политики.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2. Цель и задачи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создание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повышения престижа муниципальной службы, а также результативности профессиональной служебной деят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ельности муниципальных служащих.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3. Показатели (индикаторы)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DE5F1C" w:rsidRPr="00DE5F1C" w:rsidRDefault="00FC1AC7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173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Сведения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4. Основные мероприятия Программы</w:t>
      </w:r>
    </w:p>
    <w:p w:rsidR="00DE5F1C" w:rsidRPr="00DE5F1C" w:rsidRDefault="00FC1AC7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386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Перечень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основных мероприятий Программы представлен в приложении №2 к Программе.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5. Ожидаемые результаты реализации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увеличение числа квалифицированных специалистов на муниципальной службе;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реализации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по профессиональному развитию муниципальных служащих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рамках текущих расходов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7. Контроль за реализацией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муниципального образования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Участники Программы каждое полугодие (до 30 июня отчетного года) и по итогам года (до 31 декабря отчетного года) (нарастающим итогом) представляют в администрацию муниципального образования «Асекеевский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 декабря 2024 года.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Ежегодные отчеты о реализации Программы размещаются на официальном сайте администрации муниципального образования</w:t>
      </w:r>
      <w:r w:rsidR="00B83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5F1C" w:rsidRDefault="00DE5F1C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DE5F1C" w:rsidRPr="00DE5F1C" w:rsidTr="00702315">
        <w:trPr>
          <w:trHeight w:val="1843"/>
        </w:trPr>
        <w:tc>
          <w:tcPr>
            <w:tcW w:w="889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93022" w:rsidRDefault="00DE5F1C" w:rsidP="002930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районной программе развития муниципальной службы в 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E5F1C" w:rsidRPr="00DE5F1C" w:rsidRDefault="00DE5F1C" w:rsidP="002930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2020 - 2024 годы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73"/>
      <w:bookmarkEnd w:id="2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Программы и их значениях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843"/>
        <w:gridCol w:w="1276"/>
        <w:gridCol w:w="1275"/>
        <w:gridCol w:w="1418"/>
        <w:gridCol w:w="1417"/>
        <w:gridCol w:w="1418"/>
        <w:gridCol w:w="1276"/>
      </w:tblGrid>
      <w:tr w:rsidR="00DE5F1C" w:rsidRPr="00DE5F1C" w:rsidTr="00702315">
        <w:tc>
          <w:tcPr>
            <w:tcW w:w="567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5F1C" w:rsidRPr="00DE5F1C" w:rsidTr="00702315">
        <w:tc>
          <w:tcPr>
            <w:tcW w:w="567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E5F1C" w:rsidRPr="00DE5F1C" w:rsidRDefault="00DE5F1C" w:rsidP="00DE5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DE5F1C" w:rsidRPr="00DE5F1C" w:rsidRDefault="00DE5F1C" w:rsidP="00293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не менее 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FF4A11" w:rsidRPr="00FF4A11" w:rsidTr="00702315">
        <w:tc>
          <w:tcPr>
            <w:tcW w:w="8897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4D199E" w:rsidRDefault="00FF4A11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к районной программе развития муниципальной службы в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F4A11" w:rsidRPr="00FF4A11" w:rsidRDefault="004D199E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F4A11"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 годы</w:t>
            </w:r>
          </w:p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86"/>
      <w:bookmarkEnd w:id="3"/>
      <w:r w:rsidRPr="00FF4A1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11">
        <w:rPr>
          <w:rFonts w:ascii="Times New Roman" w:eastAsia="Times New Roman" w:hAnsi="Times New Roman" w:cs="Times New Roman"/>
          <w:sz w:val="28"/>
          <w:szCs w:val="28"/>
        </w:rPr>
        <w:t>основных мероприятий Программы</w:t>
      </w:r>
    </w:p>
    <w:p w:rsidR="00FF4A11" w:rsidRPr="00FF4A11" w:rsidRDefault="00FF4A11" w:rsidP="00FF4A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FF4A11" w:rsidRPr="00FF4A11" w:rsidTr="004D199E">
        <w:trPr>
          <w:trHeight w:val="281"/>
          <w:jc w:val="center"/>
        </w:trPr>
        <w:tc>
          <w:tcPr>
            <w:tcW w:w="54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Связь с показателями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F4A11" w:rsidRPr="00FF4A11" w:rsidTr="004D199E">
        <w:trPr>
          <w:trHeight w:val="207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FF4A11" w:rsidRPr="00FF4A11" w:rsidTr="004D199E">
        <w:trPr>
          <w:trHeight w:val="318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FF4A11" w:rsidRPr="00B8369A" w:rsidRDefault="00FF4A11" w:rsidP="004D19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369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админист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рация 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B8369A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Кислинский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Асекеевского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особенностями ее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прохождения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неисполнение нормативных правовых актов Российской Федерации и Оренбургской области, направленных на развитие муниципальной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</w:tcPr>
          <w:p w:rsidR="00FF4A11" w:rsidRPr="00FF4A11" w:rsidRDefault="004D199E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Разработка и размещение (актуализация)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FF4A11" w:rsidRPr="00B8369A" w:rsidRDefault="00FF4A11" w:rsidP="004D19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8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8369A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Кислинский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Асекеевского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муниципальной службе в Асекеевском районе  Оренбургской области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непрофессионализм и некомпетентность муниципальных служащих  Асекеевского района 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</w:tr>
    </w:tbl>
    <w:p w:rsidR="00FF4A11" w:rsidRPr="00FF4A11" w:rsidRDefault="00FF4A11" w:rsidP="00FF4A11">
      <w:pPr>
        <w:spacing w:before="240"/>
        <w:ind w:right="-314" w:firstLine="709"/>
        <w:rPr>
          <w:rFonts w:ascii="Times New Roman" w:eastAsia="Calibri" w:hAnsi="Times New Roman" w:cs="Times New Roman"/>
          <w:lang w:eastAsia="en-US"/>
        </w:rPr>
        <w:sectPr w:rsidR="00FF4A11" w:rsidRPr="00FF4A11" w:rsidSect="00702315">
          <w:pgSz w:w="16838" w:h="11905" w:orient="landscape"/>
          <w:pgMar w:top="1701" w:right="1134" w:bottom="1134" w:left="1134" w:header="0" w:footer="0" w:gutter="0"/>
          <w:cols w:space="720"/>
        </w:sectPr>
      </w:pPr>
      <w:r w:rsidRPr="00FF4A11">
        <w:rPr>
          <w:rFonts w:ascii="Times New Roman" w:eastAsia="Calibri" w:hAnsi="Times New Roman" w:cs="Times New Roman"/>
          <w:lang w:eastAsia="en-US"/>
        </w:rPr>
        <w:t>Примечание.    Привлечение    в    качестве    участников    основных    мероприятий    Программы    органов    местного    самоуправления  сельских  поселений о</w:t>
      </w:r>
      <w:r w:rsidR="004D199E">
        <w:rPr>
          <w:rFonts w:ascii="Times New Roman" w:eastAsia="Calibri" w:hAnsi="Times New Roman" w:cs="Times New Roman"/>
          <w:lang w:eastAsia="en-US"/>
        </w:rPr>
        <w:t>существляется  по  согласован</w:t>
      </w:r>
    </w:p>
    <w:p w:rsidR="00DE5F1C" w:rsidRPr="004D199E" w:rsidRDefault="00DE5F1C" w:rsidP="004D199E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sectPr w:rsidR="00DE5F1C" w:rsidRPr="004D199E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F9" w:rsidRDefault="00305CF9" w:rsidP="00DE5F1C">
      <w:pPr>
        <w:spacing w:after="0" w:line="240" w:lineRule="auto"/>
      </w:pPr>
      <w:r>
        <w:separator/>
      </w:r>
    </w:p>
  </w:endnote>
  <w:endnote w:type="continuationSeparator" w:id="1">
    <w:p w:rsidR="00305CF9" w:rsidRDefault="00305CF9" w:rsidP="00D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F9" w:rsidRDefault="00305CF9" w:rsidP="00DE5F1C">
      <w:pPr>
        <w:spacing w:after="0" w:line="240" w:lineRule="auto"/>
      </w:pPr>
      <w:r>
        <w:separator/>
      </w:r>
    </w:p>
  </w:footnote>
  <w:footnote w:type="continuationSeparator" w:id="1">
    <w:p w:rsidR="00305CF9" w:rsidRDefault="00305CF9" w:rsidP="00DE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1A4"/>
    <w:rsid w:val="00016401"/>
    <w:rsid w:val="00054873"/>
    <w:rsid w:val="00113A69"/>
    <w:rsid w:val="001B01BC"/>
    <w:rsid w:val="00203003"/>
    <w:rsid w:val="00221A5E"/>
    <w:rsid w:val="00293022"/>
    <w:rsid w:val="002D7778"/>
    <w:rsid w:val="00305CF9"/>
    <w:rsid w:val="0034112A"/>
    <w:rsid w:val="00361341"/>
    <w:rsid w:val="003750E2"/>
    <w:rsid w:val="00445F48"/>
    <w:rsid w:val="004463A1"/>
    <w:rsid w:val="004B7903"/>
    <w:rsid w:val="004C21A1"/>
    <w:rsid w:val="004D199E"/>
    <w:rsid w:val="004F5EC9"/>
    <w:rsid w:val="005107E3"/>
    <w:rsid w:val="00544486"/>
    <w:rsid w:val="00596070"/>
    <w:rsid w:val="005F47F2"/>
    <w:rsid w:val="005F6B7E"/>
    <w:rsid w:val="00680902"/>
    <w:rsid w:val="00702315"/>
    <w:rsid w:val="00722863"/>
    <w:rsid w:val="00784B05"/>
    <w:rsid w:val="007F62B8"/>
    <w:rsid w:val="00803C44"/>
    <w:rsid w:val="008C5BB2"/>
    <w:rsid w:val="009238F8"/>
    <w:rsid w:val="009E2CDC"/>
    <w:rsid w:val="00A01CDA"/>
    <w:rsid w:val="00A143BB"/>
    <w:rsid w:val="00A467D2"/>
    <w:rsid w:val="00A57623"/>
    <w:rsid w:val="00A57845"/>
    <w:rsid w:val="00A651A4"/>
    <w:rsid w:val="00A65C29"/>
    <w:rsid w:val="00A716C1"/>
    <w:rsid w:val="00AA324D"/>
    <w:rsid w:val="00AB39D5"/>
    <w:rsid w:val="00B466F3"/>
    <w:rsid w:val="00B508C1"/>
    <w:rsid w:val="00B8369A"/>
    <w:rsid w:val="00BB3E5C"/>
    <w:rsid w:val="00BC1A61"/>
    <w:rsid w:val="00BD4507"/>
    <w:rsid w:val="00BF31BC"/>
    <w:rsid w:val="00C1396F"/>
    <w:rsid w:val="00C2463B"/>
    <w:rsid w:val="00C87DB5"/>
    <w:rsid w:val="00D11456"/>
    <w:rsid w:val="00D122E5"/>
    <w:rsid w:val="00D23204"/>
    <w:rsid w:val="00D42CC2"/>
    <w:rsid w:val="00D566C6"/>
    <w:rsid w:val="00D93B34"/>
    <w:rsid w:val="00DE357F"/>
    <w:rsid w:val="00DE5F1C"/>
    <w:rsid w:val="00E02867"/>
    <w:rsid w:val="00E410AD"/>
    <w:rsid w:val="00E64D47"/>
    <w:rsid w:val="00EB7DB8"/>
    <w:rsid w:val="00F14730"/>
    <w:rsid w:val="00F6227F"/>
    <w:rsid w:val="00FC1AC7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E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F1C"/>
  </w:style>
  <w:style w:type="paragraph" w:styleId="a8">
    <w:name w:val="footer"/>
    <w:basedOn w:val="a"/>
    <w:link w:val="a9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F1C"/>
  </w:style>
  <w:style w:type="table" w:customStyle="1" w:styleId="11">
    <w:name w:val="Сетка таблицы1"/>
    <w:basedOn w:val="a1"/>
    <w:next w:val="a5"/>
    <w:uiPriority w:val="59"/>
    <w:rsid w:val="00DE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FF4A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14F295302E4C822BBBC50DBB6A347F225079AE13F144F691FFF89271F25F7FB6B8093FE96B31C0E2C752F98426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75D4-C2B5-461D-9CB2-D0112A4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2017-11-17T11:54:00Z</dcterms:created>
  <dcterms:modified xsi:type="dcterms:W3CDTF">2020-08-13T09:37:00Z</dcterms:modified>
</cp:coreProperties>
</file>