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b/>
          <w:sz w:val="28"/>
          <w:szCs w:val="28"/>
        </w:rPr>
      </w:pPr>
      <w:r>
        <w:rPr>
          <w:rFonts w:ascii="Times New Roman" w:hAnsi="Times New Roman" w:cs="Times New Roman"/>
          <w:b/>
          <w:bCs/>
          <w:sz w:val="28"/>
          <w:szCs w:val="28"/>
        </w:rPr>
        <w:t xml:space="preserve">                                                      </w:t>
      </w:r>
    </w:p>
    <w:p>
      <w:r>
        <w:drawing>
          <wp:anchor distT="0" distB="0" distL="114300" distR="114300" simplePos="0" relativeHeight="251659264" behindDoc="0" locked="0" layoutInCell="1" allowOverlap="1">
            <wp:simplePos x="0" y="0"/>
            <wp:positionH relativeFrom="column">
              <wp:posOffset>2387600</wp:posOffset>
            </wp:positionH>
            <wp:positionV relativeFrom="paragraph">
              <wp:align>top</wp:align>
            </wp:positionV>
            <wp:extent cx="499745" cy="627380"/>
            <wp:effectExtent l="0" t="0" r="14605" b="1270"/>
            <wp:wrapSquare wrapText="bothSides"/>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asekeevo-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99745" cy="627380"/>
                    </a:xfrm>
                    <a:prstGeom prst="rect">
                      <a:avLst/>
                    </a:prstGeom>
                    <a:noFill/>
                    <a:ln w="9525">
                      <a:noFill/>
                      <a:miter lim="800000"/>
                      <a:headEnd/>
                      <a:tailEnd/>
                    </a:ln>
                  </pic:spPr>
                </pic:pic>
              </a:graphicData>
            </a:graphic>
          </wp:anchor>
        </w:drawing>
      </w:r>
      <w:r>
        <w:rPr/>
        <w:br w:type="textWrapping" w:clear="all"/>
      </w:r>
    </w:p>
    <w:p>
      <w:pPr>
        <w:tabs>
          <w:tab w:val="left" w:pos="3299"/>
          <w:tab w:val="center" w:pos="4677"/>
        </w:tabs>
        <w:rPr>
          <w:rFonts w:hint="default" w:ascii="Times New Roman" w:hAnsi="Times New Roman" w:cs="Times New Roman"/>
          <w:sz w:val="28"/>
          <w:szCs w:val="28"/>
        </w:rPr>
      </w:pPr>
      <w:r>
        <w:rPr>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АДМИНИСТРАЦИЯ</w:t>
      </w:r>
    </w:p>
    <w:p>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МУНИЦИПАЛЬНОГО ОБРАЗОВАНИЯ </w:t>
      </w:r>
      <w:r>
        <w:rPr>
          <w:rFonts w:hint="default" w:ascii="Times New Roman" w:hAnsi="Times New Roman" w:cs="Times New Roman"/>
          <w:sz w:val="28"/>
          <w:szCs w:val="28"/>
          <w:lang w:val="ru-RU"/>
        </w:rPr>
        <w:t>КИСЛИНСКИЙ</w:t>
      </w:r>
      <w:r>
        <w:rPr>
          <w:rFonts w:hint="default" w:ascii="Times New Roman" w:hAnsi="Times New Roman" w:cs="Times New Roman"/>
          <w:sz w:val="28"/>
          <w:szCs w:val="28"/>
        </w:rPr>
        <w:t xml:space="preserve">  СЕЛЬСОВЕТ АСЕКЕЕВСКОГО  РАЙОНА  ОРЕНБУРГСКОЙ  ОБЛАСТИ</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П О С Т А Н О В Л Е Н И Е</w:t>
      </w:r>
    </w:p>
    <w:tbl>
      <w:tblPr>
        <w:tblStyle w:val="3"/>
        <w:tblW w:w="10260" w:type="dxa"/>
        <w:tblInd w:w="-45" w:type="dxa"/>
        <w:tblBorders>
          <w:top w:val="thinThickMediumGap" w:color="auto" w:sz="2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60"/>
      </w:tblGrid>
      <w:tr>
        <w:tblPrEx>
          <w:tblBorders>
            <w:top w:val="thinThickMedium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260" w:type="dxa"/>
            <w:tcBorders>
              <w:top w:val="thinThickMediumGap" w:color="auto" w:sz="24" w:space="0"/>
              <w:left w:val="nil"/>
              <w:bottom w:val="nil"/>
              <w:right w:val="nil"/>
            </w:tcBorders>
          </w:tcPr>
          <w:p>
            <w:pPr>
              <w:jc w:val="center"/>
              <w:rPr>
                <w:rFonts w:hint="default" w:ascii="Times New Roman" w:hAnsi="Times New Roman" w:cs="Times New Roman"/>
                <w:sz w:val="28"/>
                <w:szCs w:val="28"/>
              </w:rPr>
            </w:pPr>
          </w:p>
        </w:tc>
      </w:tr>
    </w:tbl>
    <w:p>
      <w:pPr>
        <w:rPr>
          <w:rFonts w:ascii="Arial" w:hAnsi="Arial" w:cs="Arial"/>
          <w:b/>
          <w:bCs/>
          <w:sz w:val="32"/>
          <w:szCs w:val="32"/>
        </w:rPr>
      </w:pPr>
      <w:r>
        <w:rPr>
          <w:rFonts w:hint="default" w:ascii="Times New Roman" w:hAnsi="Times New Roman" w:cs="Times New Roman"/>
          <w:sz w:val="28"/>
          <w:szCs w:val="28"/>
          <w:lang w:val="ru-RU"/>
        </w:rPr>
        <w:t>06</w:t>
      </w:r>
      <w:r>
        <w:rPr>
          <w:rFonts w:hint="default" w:ascii="Times New Roman" w:hAnsi="Times New Roman" w:cs="Times New Roman"/>
          <w:sz w:val="28"/>
          <w:szCs w:val="28"/>
        </w:rPr>
        <w:t>.0</w:t>
      </w:r>
      <w:r>
        <w:rPr>
          <w:rFonts w:hint="default" w:ascii="Times New Roman" w:hAnsi="Times New Roman" w:cs="Times New Roman"/>
          <w:sz w:val="28"/>
          <w:szCs w:val="28"/>
          <w:lang w:val="ru-RU"/>
        </w:rPr>
        <w:t>5</w:t>
      </w:r>
      <w:r>
        <w:rPr>
          <w:rFonts w:hint="default" w:ascii="Times New Roman" w:hAnsi="Times New Roman" w:cs="Times New Roman"/>
          <w:sz w:val="28"/>
          <w:szCs w:val="28"/>
        </w:rPr>
        <w:t xml:space="preserve">.2024г.                                     </w:t>
      </w:r>
      <w:r>
        <w:rPr>
          <w:rFonts w:hint="default" w:ascii="Times New Roman" w:hAnsi="Times New Roman" w:cs="Times New Roman"/>
          <w:sz w:val="28"/>
          <w:szCs w:val="28"/>
          <w:lang w:val="ru-RU"/>
        </w:rPr>
        <w:t>с</w:t>
      </w:r>
      <w:r>
        <w:rPr>
          <w:rFonts w:hint="default" w:ascii="Times New Roman" w:hAnsi="Times New Roman" w:cs="Times New Roman"/>
          <w:sz w:val="28"/>
          <w:szCs w:val="28"/>
        </w:rPr>
        <w:t>.</w:t>
      </w:r>
      <w:r>
        <w:rPr>
          <w:rFonts w:hint="default" w:ascii="Times New Roman" w:hAnsi="Times New Roman" w:cs="Times New Roman"/>
          <w:sz w:val="28"/>
          <w:szCs w:val="28"/>
          <w:lang w:val="ru-RU"/>
        </w:rPr>
        <w:t>Кисла</w:t>
      </w:r>
      <w:r>
        <w:rPr>
          <w:rFonts w:hint="default" w:ascii="Times New Roman" w:hAnsi="Times New Roman" w:cs="Times New Roman"/>
          <w:sz w:val="28"/>
          <w:szCs w:val="28"/>
        </w:rPr>
        <w:t xml:space="preserve">                                            № </w:t>
      </w:r>
      <w:r>
        <w:rPr>
          <w:rFonts w:hint="default" w:ascii="Times New Roman" w:hAnsi="Times New Roman" w:cs="Times New Roman"/>
          <w:sz w:val="28"/>
          <w:szCs w:val="28"/>
          <w:lang w:val="ru-RU"/>
        </w:rPr>
        <w:t>34</w:t>
      </w:r>
      <w:r>
        <w:rPr>
          <w:rFonts w:hint="default" w:ascii="Times New Roman" w:hAnsi="Times New Roman" w:cs="Times New Roman"/>
          <w:sz w:val="28"/>
          <w:szCs w:val="28"/>
        </w:rPr>
        <w:t>-п</w:t>
      </w:r>
    </w:p>
    <w:p>
      <w:pPr>
        <w:autoSpaceDE w:val="0"/>
        <w:autoSpaceDN w:val="0"/>
        <w:adjustRightInd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p>
    <w:p>
      <w:pPr>
        <w:autoSpaceDE w:val="0"/>
        <w:autoSpaceDN w:val="0"/>
        <w:adjustRightInd w:val="0"/>
        <w:jc w:val="center"/>
        <w:rPr>
          <w:rFonts w:hint="default" w:ascii="Times New Roman" w:hAnsi="Times New Roman" w:cs="Times New Roman"/>
          <w:b/>
          <w:sz w:val="28"/>
          <w:szCs w:val="28"/>
        </w:rPr>
      </w:pPr>
      <w:r>
        <w:rPr>
          <w:rFonts w:hint="default" w:ascii="Times New Roman" w:hAnsi="Times New Roman" w:cs="Times New Roman"/>
          <w:b/>
          <w:bCs/>
          <w:sz w:val="28"/>
          <w:szCs w:val="28"/>
        </w:rPr>
        <w:t>«</w:t>
      </w:r>
      <w:r>
        <w:rPr>
          <w:rFonts w:hint="default" w:ascii="Times New Roman" w:hAnsi="Times New Roman" w:cs="Times New Roman"/>
          <w:b/>
          <w:sz w:val="28"/>
          <w:szCs w:val="28"/>
        </w:rPr>
        <w:t xml:space="preserve">Выдача выписки из похозяйственной книги» </w:t>
      </w:r>
    </w:p>
    <w:p>
      <w:pPr>
        <w:autoSpaceDE w:val="0"/>
        <w:autoSpaceDN w:val="0"/>
        <w:adjustRightInd w:val="0"/>
        <w:jc w:val="center"/>
        <w:rPr>
          <w:rFonts w:hint="default" w:ascii="Times New Roman" w:hAnsi="Times New Roman" w:cs="Times New Roman"/>
          <w:b/>
          <w:bCs/>
          <w:sz w:val="28"/>
          <w:szCs w:val="28"/>
        </w:rPr>
      </w:pPr>
    </w:p>
    <w:p>
      <w:pPr>
        <w:jc w:val="both"/>
        <w:rPr>
          <w:rFonts w:hint="default" w:ascii="Times New Roman" w:hAnsi="Times New Roman" w:cs="Times New Roman"/>
          <w:bCs/>
          <w:sz w:val="28"/>
          <w:szCs w:val="28"/>
        </w:rPr>
      </w:pPr>
      <w:r>
        <w:rPr>
          <w:rFonts w:ascii="Arial" w:hAnsi="Arial" w:cs="Arial"/>
          <w:bCs/>
          <w:sz w:val="24"/>
        </w:rPr>
        <w:tab/>
      </w:r>
      <w:r>
        <w:rPr>
          <w:rFonts w:hint="default"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Уставом муниципального образования </w:t>
      </w:r>
      <w:r>
        <w:rPr>
          <w:rFonts w:hint="default" w:ascii="Times New Roman" w:hAnsi="Times New Roman" w:cs="Times New Roman"/>
          <w:bCs/>
          <w:sz w:val="28"/>
          <w:szCs w:val="28"/>
          <w:lang w:val="ru-RU"/>
        </w:rPr>
        <w:t xml:space="preserve">Кислинский </w:t>
      </w:r>
      <w:r>
        <w:rPr>
          <w:rFonts w:hint="default" w:ascii="Times New Roman" w:hAnsi="Times New Roman" w:cs="Times New Roman"/>
          <w:bCs/>
          <w:sz w:val="28"/>
          <w:szCs w:val="28"/>
        </w:rPr>
        <w:t xml:space="preserve">сельсовет </w:t>
      </w:r>
    </w:p>
    <w:p>
      <w:pPr>
        <w:pStyle w:val="11"/>
        <w:numPr>
          <w:ilvl w:val="0"/>
          <w:numId w:val="1"/>
        </w:num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bCs/>
          <w:sz w:val="28"/>
          <w:szCs w:val="28"/>
        </w:rPr>
        <w:t>Утвердить административный регламент предоставления муниципальной услуги «</w:t>
      </w:r>
      <w:r>
        <w:rPr>
          <w:rFonts w:hint="default" w:ascii="Times New Roman" w:hAnsi="Times New Roman" w:cs="Times New Roman"/>
          <w:sz w:val="28"/>
          <w:szCs w:val="28"/>
        </w:rPr>
        <w:t xml:space="preserve">Выдача выписки из похозяйственной книги» </w:t>
      </w:r>
      <w:r>
        <w:rPr>
          <w:rFonts w:hint="default" w:ascii="Times New Roman" w:hAnsi="Times New Roman" w:cs="Times New Roman"/>
          <w:sz w:val="28"/>
          <w:szCs w:val="28"/>
          <w:lang w:val="ru-RU"/>
        </w:rPr>
        <w:t>.</w:t>
      </w:r>
    </w:p>
    <w:p>
      <w:pPr>
        <w:pStyle w:val="11"/>
        <w:numPr>
          <w:ilvl w:val="0"/>
          <w:numId w:val="1"/>
        </w:num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Признать утратившим силу постановлени</w:t>
      </w:r>
      <w:r>
        <w:rPr>
          <w:rFonts w:hint="default" w:ascii="Times New Roman" w:hAnsi="Times New Roman" w:cs="Times New Roman"/>
          <w:sz w:val="28"/>
          <w:szCs w:val="28"/>
          <w:lang w:val="ru-RU"/>
        </w:rPr>
        <w:t>е</w:t>
      </w:r>
      <w:r>
        <w:rPr>
          <w:rFonts w:hint="default" w:ascii="Times New Roman" w:hAnsi="Times New Roman" w:cs="Times New Roman"/>
          <w:sz w:val="28"/>
          <w:szCs w:val="28"/>
        </w:rPr>
        <w:t xml:space="preserve"> администрации </w:t>
      </w:r>
      <w:r>
        <w:rPr>
          <w:rFonts w:hint="default" w:ascii="Times New Roman" w:hAnsi="Times New Roman" w:cs="Times New Roman"/>
          <w:sz w:val="28"/>
          <w:szCs w:val="28"/>
          <w:lang w:val="ru-RU"/>
        </w:rPr>
        <w:t xml:space="preserve">Кислинского </w:t>
      </w:r>
      <w:r>
        <w:rPr>
          <w:rFonts w:hint="default" w:ascii="Times New Roman" w:hAnsi="Times New Roman" w:cs="Times New Roman"/>
          <w:sz w:val="28"/>
          <w:szCs w:val="28"/>
        </w:rPr>
        <w:t xml:space="preserve"> сельсовета от 1</w:t>
      </w:r>
      <w:r>
        <w:rPr>
          <w:rFonts w:hint="default" w:ascii="Times New Roman" w:hAnsi="Times New Roman" w:cs="Times New Roman"/>
          <w:sz w:val="28"/>
          <w:szCs w:val="28"/>
          <w:lang w:val="ru-RU"/>
        </w:rPr>
        <w:t>7</w:t>
      </w:r>
      <w:r>
        <w:rPr>
          <w:rFonts w:hint="default" w:ascii="Times New Roman" w:hAnsi="Times New Roman" w:cs="Times New Roman"/>
          <w:sz w:val="28"/>
          <w:szCs w:val="28"/>
        </w:rPr>
        <w:t>.0</w:t>
      </w:r>
      <w:r>
        <w:rPr>
          <w:rFonts w:hint="default" w:ascii="Times New Roman" w:hAnsi="Times New Roman" w:cs="Times New Roman"/>
          <w:sz w:val="28"/>
          <w:szCs w:val="28"/>
          <w:lang w:val="ru-RU"/>
        </w:rPr>
        <w:t>1</w:t>
      </w:r>
      <w:r>
        <w:rPr>
          <w:rFonts w:hint="default" w:ascii="Times New Roman" w:hAnsi="Times New Roman" w:cs="Times New Roman"/>
          <w:sz w:val="28"/>
          <w:szCs w:val="28"/>
        </w:rPr>
        <w:t xml:space="preserve">.2018 г. № </w:t>
      </w:r>
      <w:r>
        <w:rPr>
          <w:rFonts w:hint="default" w:ascii="Times New Roman" w:hAnsi="Times New Roman" w:cs="Times New Roman"/>
          <w:sz w:val="28"/>
          <w:szCs w:val="28"/>
          <w:lang w:val="ru-RU"/>
        </w:rPr>
        <w:t>01</w:t>
      </w:r>
      <w:r>
        <w:rPr>
          <w:rFonts w:hint="default" w:ascii="Times New Roman" w:hAnsi="Times New Roman" w:cs="Times New Roman"/>
          <w:sz w:val="28"/>
          <w:szCs w:val="28"/>
        </w:rPr>
        <w:t>-п « Об утверждении административного регламента предоставление муниципальной услуги «Выдача документов (единого жилищного документа, копии финансового-лицевого счета, выписок из домовой книги, карточки учета собственника жилого имущества, справок и иных документов)</w:t>
      </w:r>
      <w:r>
        <w:rPr>
          <w:rFonts w:hint="default" w:ascii="Times New Roman" w:hAnsi="Times New Roman" w:cs="Times New Roman"/>
          <w:sz w:val="28"/>
          <w:szCs w:val="28"/>
          <w:lang w:val="ru-RU"/>
        </w:rPr>
        <w:t>;постановление №41-п от 20.07.2023 «О внесении изменений и дополнений в постановление №01-п от 17.01.2018г «</w:t>
      </w:r>
      <w:r>
        <w:rPr>
          <w:rFonts w:hint="default" w:ascii="Times New Roman" w:hAnsi="Times New Roman" w:cs="Times New Roman"/>
          <w:sz w:val="28"/>
          <w:szCs w:val="28"/>
        </w:rPr>
        <w:t>« Об утверждении административного регламента предоставление муниципальной услуги «Выдача документов (единого жилищного документа, копии финансового-лицевого счета, выписок из домовой книги, карточки учета собственника жилого имущества, справок и иных документов</w:t>
      </w:r>
      <w:r>
        <w:rPr>
          <w:rFonts w:hint="default" w:ascii="Times New Roman" w:hAnsi="Times New Roman" w:cs="Times New Roman"/>
          <w:sz w:val="28"/>
          <w:szCs w:val="28"/>
          <w:lang w:val="ru-RU"/>
        </w:rPr>
        <w:t>».</w:t>
      </w:r>
    </w:p>
    <w:p>
      <w:pPr>
        <w:pStyle w:val="11"/>
        <w:numPr>
          <w:ilvl w:val="0"/>
          <w:numId w:val="1"/>
        </w:num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Контроль за исполнением настоящего постановления оставляю за собой.</w:t>
      </w:r>
    </w:p>
    <w:p>
      <w:pPr>
        <w:pStyle w:val="11"/>
        <w:numPr>
          <w:ilvl w:val="0"/>
          <w:numId w:val="1"/>
        </w:numPr>
        <w:autoSpaceDE w:val="0"/>
        <w:autoSpaceDN w:val="0"/>
        <w:adjustRightInd w:val="0"/>
        <w:jc w:val="both"/>
        <w:rPr>
          <w:rFonts w:hint="default" w:ascii="Times New Roman" w:hAnsi="Times New Roman" w:cs="Times New Roman"/>
          <w:sz w:val="28"/>
          <w:szCs w:val="28"/>
        </w:rPr>
      </w:pPr>
      <w:r>
        <w:rPr>
          <w:rFonts w:hint="default" w:ascii="Times New Roman" w:hAnsi="Times New Roman" w:cs="Times New Roman"/>
          <w:sz w:val="28"/>
          <w:szCs w:val="28"/>
        </w:rPr>
        <w:t>Постановление вступает  в силу после его официального опубликования в сети интернет.</w:t>
      </w:r>
    </w:p>
    <w:p>
      <w:pPr>
        <w:pStyle w:val="11"/>
        <w:numPr>
          <w:ilvl w:val="0"/>
          <w:numId w:val="0"/>
        </w:numPr>
        <w:autoSpaceDE w:val="0"/>
        <w:autoSpaceDN w:val="0"/>
        <w:adjustRightInd w:val="0"/>
        <w:ind w:left="360" w:leftChars="0"/>
        <w:jc w:val="both"/>
        <w:rPr>
          <w:rFonts w:hint="default" w:ascii="Times New Roman" w:hAnsi="Times New Roman" w:cs="Times New Roman"/>
          <w:sz w:val="28"/>
          <w:szCs w:val="28"/>
        </w:rPr>
      </w:pP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Глава муниципального образования                                              В.Л. Абрамов</w:t>
      </w: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jc w:val="center"/>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Приложение   </w:t>
      </w:r>
    </w:p>
    <w:p>
      <w:pPr>
        <w:jc w:val="right"/>
        <w:rPr>
          <w:rFonts w:hint="default" w:ascii="Times New Roman" w:hAnsi="Times New Roman" w:cs="Times New Roman"/>
          <w:sz w:val="28"/>
          <w:szCs w:val="28"/>
        </w:rPr>
      </w:pPr>
      <w:r>
        <w:rPr>
          <w:rFonts w:hint="default" w:ascii="Times New Roman" w:hAnsi="Times New Roman" w:cs="Times New Roman"/>
          <w:sz w:val="28"/>
          <w:szCs w:val="28"/>
        </w:rPr>
        <w:t xml:space="preserve">к постановлению  главы  сельсовета </w:t>
      </w:r>
    </w:p>
    <w:p>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от </w:t>
      </w:r>
      <w:r>
        <w:rPr>
          <w:rFonts w:hint="default" w:ascii="Times New Roman" w:hAnsi="Times New Roman" w:cs="Times New Roman"/>
          <w:sz w:val="28"/>
          <w:szCs w:val="28"/>
          <w:lang w:val="ru-RU"/>
        </w:rPr>
        <w:t>06</w:t>
      </w:r>
      <w:r>
        <w:rPr>
          <w:rFonts w:hint="default" w:ascii="Times New Roman" w:hAnsi="Times New Roman" w:cs="Times New Roman"/>
          <w:sz w:val="28"/>
          <w:szCs w:val="28"/>
        </w:rPr>
        <w:t>.0</w:t>
      </w:r>
      <w:r>
        <w:rPr>
          <w:rFonts w:hint="default" w:ascii="Times New Roman" w:hAnsi="Times New Roman" w:cs="Times New Roman"/>
          <w:sz w:val="28"/>
          <w:szCs w:val="28"/>
          <w:lang w:val="ru-RU"/>
        </w:rPr>
        <w:t>5</w:t>
      </w:r>
      <w:r>
        <w:rPr>
          <w:rFonts w:hint="default" w:ascii="Times New Roman" w:hAnsi="Times New Roman" w:cs="Times New Roman"/>
          <w:sz w:val="28"/>
          <w:szCs w:val="28"/>
        </w:rPr>
        <w:t xml:space="preserve">.2024г.  № </w:t>
      </w:r>
      <w:r>
        <w:rPr>
          <w:rFonts w:hint="default" w:ascii="Times New Roman" w:hAnsi="Times New Roman" w:cs="Times New Roman"/>
          <w:sz w:val="28"/>
          <w:szCs w:val="28"/>
          <w:lang w:val="ru-RU"/>
        </w:rPr>
        <w:t>34</w:t>
      </w:r>
      <w:r>
        <w:rPr>
          <w:rFonts w:hint="default" w:ascii="Times New Roman" w:hAnsi="Times New Roman" w:cs="Times New Roman"/>
          <w:sz w:val="28"/>
          <w:szCs w:val="28"/>
        </w:rPr>
        <w:t xml:space="preserve">-п </w:t>
      </w:r>
    </w:p>
    <w:p>
      <w:pPr>
        <w:tabs>
          <w:tab w:val="left" w:pos="5670"/>
        </w:tabs>
        <w:jc w:val="both"/>
        <w:rPr>
          <w:rFonts w:ascii="Times New Roman" w:hAnsi="Times New Roman" w:cs="Times New Roman"/>
          <w:b/>
          <w:bCs/>
          <w:sz w:val="28"/>
          <w:szCs w:val="28"/>
        </w:rPr>
      </w:pPr>
    </w:p>
    <w:p>
      <w:pPr>
        <w:tabs>
          <w:tab w:val="left" w:pos="5670"/>
        </w:tabs>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w:t>
      </w:r>
    </w:p>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«Выдача выписки из похозяйственной книги»</w:t>
      </w:r>
    </w:p>
    <w:p>
      <w:pPr>
        <w:autoSpaceDE w:val="0"/>
        <w:autoSpaceDN w:val="0"/>
        <w:adjustRightInd w:val="0"/>
        <w:spacing w:after="0" w:line="240" w:lineRule="auto"/>
        <w:jc w:val="both"/>
        <w:outlineLvl w:val="0"/>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Предмет регулирования административного регламента</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Pr>
          <w:rFonts w:ascii="Times New Roman" w:hAnsi="Times New Roman" w:cs="Times New Roman"/>
          <w:sz w:val="28"/>
          <w:szCs w:val="28"/>
          <w:lang w:val="ru-RU"/>
        </w:rPr>
        <w:t>муниципального</w:t>
      </w:r>
      <w:r>
        <w:rPr>
          <w:rFonts w:hint="default" w:ascii="Times New Roman" w:hAnsi="Times New Roman" w:cs="Times New Roman"/>
          <w:sz w:val="28"/>
          <w:szCs w:val="28"/>
          <w:lang w:val="ru-RU"/>
        </w:rPr>
        <w:t xml:space="preserve"> образования Кислинский сельсовет</w:t>
      </w:r>
      <w:r>
        <w:rPr>
          <w:rFonts w:ascii="Times New Roman" w:hAnsi="Times New Roman" w:cs="Times New Roman"/>
          <w:sz w:val="28"/>
          <w:szCs w:val="28"/>
        </w:rPr>
        <w:t>(далее –  уполномоченный орган).</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Круг заявителей</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Заявителями на получение муниципальной услуги (далее - заявители) являются физические лица, ведущие личное подсобное хозяйство на территории </w:t>
      </w:r>
      <w:r>
        <w:rPr>
          <w:rFonts w:ascii="Times New Roman" w:hAnsi="Times New Roman" w:cs="Times New Roman"/>
          <w:sz w:val="28"/>
          <w:szCs w:val="28"/>
          <w:lang w:val="ru-RU"/>
        </w:rPr>
        <w:t>муниципального</w:t>
      </w:r>
      <w:r>
        <w:rPr>
          <w:rFonts w:hint="default" w:ascii="Times New Roman" w:hAnsi="Times New Roman" w:cs="Times New Roman"/>
          <w:sz w:val="28"/>
          <w:szCs w:val="28"/>
          <w:lang w:val="ru-RU"/>
        </w:rPr>
        <w:t xml:space="preserve"> образования Кислинский сельсовет</w:t>
      </w:r>
      <w:r>
        <w:rPr>
          <w:rFonts w:ascii="Times New Roman" w:hAnsi="Times New Roman" w:cs="Times New Roman"/>
          <w:sz w:val="28"/>
          <w:szCs w:val="28"/>
        </w:rPr>
        <w:t>,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pPr>
        <w:pStyle w:val="10"/>
        <w:shd w:val="clear" w:color="auto" w:fill="FFFFFF"/>
        <w:spacing w:before="0" w:beforeAutospacing="0" w:after="0" w:afterAutospacing="0"/>
        <w:ind w:firstLine="567"/>
        <w:jc w:val="both"/>
        <w:rPr>
          <w:color w:val="22272F"/>
          <w:sz w:val="28"/>
          <w:szCs w:val="28"/>
        </w:rPr>
      </w:pPr>
      <w:r>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pPr>
        <w:pStyle w:val="10"/>
        <w:shd w:val="clear" w:color="auto" w:fill="FFFFFF"/>
        <w:spacing w:before="0" w:beforeAutospacing="0" w:after="0" w:afterAutospacing="0"/>
        <w:ind w:firstLine="567"/>
        <w:jc w:val="both"/>
        <w:rPr>
          <w:color w:val="22272F"/>
          <w:sz w:val="28"/>
          <w:szCs w:val="28"/>
        </w:rPr>
      </w:pPr>
      <w:r>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pPr>
        <w:autoSpaceDE w:val="0"/>
        <w:autoSpaceDN w:val="0"/>
        <w:adjustRightInd w:val="0"/>
        <w:spacing w:after="0" w:line="240" w:lineRule="auto"/>
        <w:ind w:firstLine="567"/>
        <w:jc w:val="both"/>
        <w:rPr>
          <w:rFonts w:ascii="Times New Roman" w:hAnsi="Times New Roman" w:cs="Times New Roman"/>
          <w:sz w:val="28"/>
          <w:szCs w:val="28"/>
        </w:rPr>
      </w:pPr>
    </w:p>
    <w:p>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22272F"/>
          <w:sz w:val="28"/>
          <w:szCs w:val="28"/>
          <w:shd w:val="clear" w:color="auto" w:fill="FFFFFF"/>
        </w:rPr>
        <w:t xml:space="preserve">4. Заявителю представляется </w:t>
      </w:r>
      <w:r>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уполномоченном органе;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многофункциональном центре предоставления государственных и муниципальных услуг (далее - МФЦ);</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электронном виде в информационно-телекоммуникационной сети Интернет:</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Администрации </w:t>
      </w:r>
      <w:r>
        <w:rPr>
          <w:rFonts w:ascii="Times New Roman" w:hAnsi="Times New Roman" w:cs="Times New Roman"/>
          <w:sz w:val="28"/>
          <w:szCs w:val="28"/>
          <w:lang w:val="ru-RU"/>
        </w:rPr>
        <w:t>муниципального</w:t>
      </w:r>
      <w:r>
        <w:rPr>
          <w:rFonts w:hint="default" w:ascii="Times New Roman" w:hAnsi="Times New Roman" w:cs="Times New Roman"/>
          <w:sz w:val="28"/>
          <w:szCs w:val="28"/>
          <w:lang w:val="ru-RU"/>
        </w:rPr>
        <w:t xml:space="preserve"> образования Кислинский сельсовет</w:t>
      </w:r>
      <w:r>
        <w:rPr>
          <w:rFonts w:ascii="Times New Roman" w:hAnsi="Times New Roman" w:cs="Times New Roman"/>
          <w:sz w:val="28"/>
          <w:szCs w:val="28"/>
        </w:rPr>
        <w:t xml:space="preserve">  http://</w:t>
      </w:r>
      <w:r>
        <w:rPr>
          <w:rFonts w:hint="default" w:ascii="Times New Roman" w:hAnsi="Times New Roman" w:cs="Times New Roman"/>
          <w:sz w:val="28"/>
          <w:szCs w:val="28"/>
          <w:lang w:val="en-US"/>
        </w:rPr>
        <w:t>mo-kisla.ru</w:t>
      </w:r>
      <w:r>
        <w:rPr>
          <w:rFonts w:ascii="Times New Roman" w:hAnsi="Times New Roman" w:cs="Times New Roman"/>
          <w:sz w:val="28"/>
          <w:szCs w:val="28"/>
        </w:rPr>
        <w:t>;</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официальном портале МФЦ ;</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На официальном сайте Администрации </w:t>
      </w:r>
      <w:r>
        <w:rPr>
          <w:rFonts w:hint="default" w:ascii="Times New Roman" w:hAnsi="Times New Roman" w:cs="Times New Roman"/>
          <w:sz w:val="28"/>
          <w:szCs w:val="28"/>
          <w:lang w:val="ru-RU"/>
        </w:rPr>
        <w:t>муниципального образования Кислинский сельсовет</w:t>
      </w:r>
      <w:r>
        <w:rPr>
          <w:rFonts w:ascii="Times New Roman" w:hAnsi="Times New Roman" w:cs="Times New Roman"/>
          <w:sz w:val="28"/>
          <w:szCs w:val="28"/>
        </w:rPr>
        <w:t>, на официальном портале МФЦ и на Едином портале, размещается следующая информация: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круг заявителей;</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порядок, способы и сроки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Информирование осуществляется в следующих формах:</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личное консультирование;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консультирование по почте (по электронной почте);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консультирование по телефону;</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публичное информирование.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индивидуальное личное консультирование: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pPr>
        <w:pStyle w:val="8"/>
        <w:ind w:firstLine="567"/>
        <w:jc w:val="both"/>
        <w:rPr>
          <w:rFonts w:ascii="Times New Roman" w:hAnsi="Times New Roman" w:cs="Times New Roman"/>
          <w:sz w:val="28"/>
          <w:szCs w:val="28"/>
        </w:rPr>
      </w:pPr>
      <w:r>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r>
        <w:fldChar w:fldCharType="begin"/>
      </w:r>
      <w:r>
        <w:instrText xml:space="preserve"> HYPERLINK "consultantplus://offline/ref=4828125D80DDBA21EE115D27836B55F33EA2937C15173839C3ADC741A264EC9ABF75234310ABAAD26D8436B851r1X1L" </w:instrText>
      </w:r>
      <w:r>
        <w:fldChar w:fldCharType="separate"/>
      </w:r>
      <w:r>
        <w:rPr>
          <w:rFonts w:ascii="Times New Roman" w:hAnsi="Times New Roman" w:cs="Times New Roman"/>
          <w:color w:val="0000FF"/>
          <w:sz w:val="28"/>
          <w:szCs w:val="28"/>
        </w:rPr>
        <w:t>законом</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от 02.05.2006 № 59-ФЗ "О порядке рассмотрения обращений граждан Российской Федерации";</w:t>
      </w:r>
    </w:p>
    <w:p>
      <w:pPr>
        <w:pStyle w:val="8"/>
        <w:ind w:firstLine="567"/>
        <w:jc w:val="both"/>
        <w:rPr>
          <w:rFonts w:ascii="Times New Roman" w:hAnsi="Times New Roman" w:cs="Times New Roman"/>
          <w:sz w:val="28"/>
          <w:szCs w:val="28"/>
        </w:rPr>
      </w:pPr>
      <w:r>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индивидуальное консультирование по почте (по электронной почте):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индивидуальное консультирование по телефону:</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pPr>
        <w:autoSpaceDE w:val="0"/>
        <w:autoSpaceDN w:val="0"/>
        <w:adjustRightInd w:val="0"/>
        <w:spacing w:after="0" w:line="240" w:lineRule="auto"/>
        <w:ind w:firstLine="567"/>
        <w:jc w:val="both"/>
        <w:rPr>
          <w:rFonts w:ascii="Times New Roman" w:hAnsi="Times New Roman" w:cs="Times New Roman"/>
          <w:sz w:val="28"/>
          <w:szCs w:val="28"/>
        </w:rPr>
      </w:pPr>
      <w:bookmarkStart w:id="0" w:name="Par53"/>
      <w:bookmarkEnd w:id="0"/>
      <w:r>
        <w:rPr>
          <w:rFonts w:ascii="Times New Roman" w:hAnsi="Times New Roman" w:cs="Times New Roman"/>
          <w:sz w:val="28"/>
          <w:szCs w:val="28"/>
        </w:rPr>
        <w:t>г) публичное информирование осуществляется путем размещения информационных материалов:</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стендах в местах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Администрации </w:t>
      </w:r>
      <w:r>
        <w:rPr>
          <w:rFonts w:ascii="Times New Roman" w:hAnsi="Times New Roman" w:cs="Times New Roman"/>
          <w:sz w:val="28"/>
          <w:szCs w:val="28"/>
          <w:lang w:val="ru-RU"/>
        </w:rPr>
        <w:t>муниципального</w:t>
      </w:r>
      <w:r>
        <w:rPr>
          <w:rFonts w:hint="default" w:ascii="Times New Roman" w:hAnsi="Times New Roman" w:cs="Times New Roman"/>
          <w:sz w:val="28"/>
          <w:szCs w:val="28"/>
          <w:lang w:val="ru-RU"/>
        </w:rPr>
        <w:t xml:space="preserve"> образования Кислинский сельсовет</w:t>
      </w:r>
      <w:r>
        <w:rPr>
          <w:rFonts w:ascii="Times New Roman" w:hAnsi="Times New Roman" w:cs="Times New Roman"/>
          <w:sz w:val="28"/>
          <w:szCs w:val="28"/>
        </w:rPr>
        <w:t>;</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официальном портале МФЦ;</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Едином портале государственных и муниципальных услуг.</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На информационных стендах в помещениях предназначенных для приема граждан, размещаются: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текст Административного регламента с приложениями;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перечень категорий получателей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получения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 консультации, справочная информация, формы документов предоставляются бесплатно.</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Pr>
          <w:rFonts w:ascii="Times New Roman" w:hAnsi="Times New Roman" w:cs="Times New Roman"/>
          <w:sz w:val="28"/>
          <w:szCs w:val="28"/>
          <w:lang w:val="ru-RU"/>
        </w:rPr>
        <w:t>муниципального</w:t>
      </w:r>
      <w:r>
        <w:rPr>
          <w:rFonts w:hint="default" w:ascii="Times New Roman" w:hAnsi="Times New Roman" w:cs="Times New Roman"/>
          <w:sz w:val="28"/>
          <w:szCs w:val="28"/>
          <w:lang w:val="ru-RU"/>
        </w:rPr>
        <w:t xml:space="preserve"> образования Кислинский сельсовет</w:t>
      </w:r>
      <w:r>
        <w:rPr>
          <w:rFonts w:ascii="Times New Roman" w:hAnsi="Times New Roman" w:cs="Times New Roman"/>
          <w:sz w:val="28"/>
          <w:szCs w:val="28"/>
        </w:rPr>
        <w:t>, МФЦ можно получить:</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официальном сайте Администрации</w:t>
      </w:r>
      <w:r>
        <w:rPr>
          <w:rFonts w:ascii="Times New Roman" w:hAnsi="Times New Roman" w:cs="Times New Roman"/>
          <w:sz w:val="28"/>
          <w:szCs w:val="28"/>
          <w:lang w:val="ru-RU"/>
        </w:rPr>
        <w:t>муниципального</w:t>
      </w:r>
      <w:r>
        <w:rPr>
          <w:rFonts w:hint="default" w:ascii="Times New Roman" w:hAnsi="Times New Roman" w:cs="Times New Roman"/>
          <w:sz w:val="28"/>
          <w:szCs w:val="28"/>
          <w:lang w:val="ru-RU"/>
        </w:rPr>
        <w:t xml:space="preserve"> образования Кислинский сельсовет</w:t>
      </w:r>
      <w:r>
        <w:rPr>
          <w:rFonts w:ascii="Times New Roman" w:hAnsi="Times New Roman" w:cs="Times New Roman"/>
          <w:sz w:val="28"/>
          <w:szCs w:val="28"/>
        </w:rPr>
        <w:t xml:space="preserve"> в информационно-телекоммуникационной сети Интернет;</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Едином портале;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в местах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 личном обращении заявителя;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 обращении в письменной форме, в форме электронного документа;</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 телефону.</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На официальном сайте Администрации </w:t>
      </w:r>
      <w:r>
        <w:rPr>
          <w:rFonts w:ascii="Times New Roman" w:hAnsi="Times New Roman" w:cs="Times New Roman"/>
          <w:sz w:val="28"/>
          <w:szCs w:val="28"/>
          <w:lang w:val="ru-RU"/>
        </w:rPr>
        <w:t>муниципального</w:t>
      </w:r>
      <w:r>
        <w:rPr>
          <w:rFonts w:hint="default" w:ascii="Times New Roman" w:hAnsi="Times New Roman" w:cs="Times New Roman"/>
          <w:sz w:val="28"/>
          <w:szCs w:val="28"/>
          <w:lang w:val="ru-RU"/>
        </w:rPr>
        <w:t xml:space="preserve"> образования Кислинский сельсовет</w:t>
      </w:r>
      <w:r>
        <w:rPr>
          <w:rFonts w:ascii="Times New Roman" w:hAnsi="Times New Roman" w:cs="Times New Roman"/>
          <w:sz w:val="28"/>
          <w:szCs w:val="28"/>
        </w:rPr>
        <w:t xml:space="preserve"> на Едином портале размещению подлежит следующая справочная информация: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 МФЦ;</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справочные телефоны уполномоченного органа, предоставляющего муниципальную услугу;</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2. Стандарт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Наименование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Наименование муниципальной услуги - Выдача выписки из похозяйственной книги.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Наименование органа местного самоуправления,</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муниципальную услугу</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hint="default" w:ascii="Times New Roman" w:hAnsi="Times New Roman" w:cs="Times New Roman"/>
          <w:sz w:val="28"/>
          <w:szCs w:val="28"/>
          <w:lang w:val="ru-RU"/>
        </w:rPr>
      </w:pPr>
      <w:r>
        <w:rPr>
          <w:rFonts w:ascii="Times New Roman" w:hAnsi="Times New Roman" w:cs="Times New Roman"/>
          <w:sz w:val="28"/>
          <w:szCs w:val="28"/>
        </w:rPr>
        <w:t xml:space="preserve">15. Предоставление муниципальной услуги осуществляется </w:t>
      </w:r>
      <w:r>
        <w:rPr>
          <w:rFonts w:hint="default" w:ascii="Times New Roman" w:hAnsi="Times New Roman" w:cs="Times New Roman"/>
          <w:sz w:val="28"/>
          <w:szCs w:val="28"/>
          <w:lang w:val="ru-RU"/>
        </w:rPr>
        <w:t xml:space="preserve"> муниципальным образованием Кислинский сельсовет Асекеевского района Оренбургской области.</w:t>
      </w:r>
    </w:p>
    <w:p>
      <w:pPr>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полное наименование органа местного самоуправления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pPr>
        <w:autoSpaceDE w:val="0"/>
        <w:autoSpaceDN w:val="0"/>
        <w:adjustRightInd w:val="0"/>
        <w:spacing w:after="0" w:line="240" w:lineRule="auto"/>
        <w:ind w:firstLine="567"/>
        <w:jc w:val="center"/>
        <w:rPr>
          <w:rFonts w:ascii="Times New Roman" w:hAnsi="Times New Roman" w:cs="Times New Roman"/>
          <w:b/>
          <w:bCs/>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(в МФЦ, по почте);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pPr>
        <w:pStyle w:val="10"/>
        <w:shd w:val="clear" w:color="auto" w:fill="FFFFFF"/>
        <w:spacing w:before="0" w:beforeAutospacing="0" w:after="0" w:afterAutospacing="0"/>
        <w:ind w:firstLine="567"/>
        <w:jc w:val="both"/>
        <w:rPr>
          <w:color w:val="22272F"/>
          <w:sz w:val="28"/>
          <w:szCs w:val="28"/>
        </w:rPr>
      </w:pPr>
      <w:r>
        <w:rPr>
          <w:color w:val="22272F"/>
          <w:sz w:val="28"/>
          <w:szCs w:val="28"/>
        </w:rPr>
        <w:t>20.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pPr>
        <w:pStyle w:val="10"/>
        <w:shd w:val="clear" w:color="auto" w:fill="FFFFFF"/>
        <w:spacing w:before="0" w:beforeAutospacing="0" w:after="0" w:afterAutospacing="0"/>
        <w:ind w:firstLine="567"/>
        <w:jc w:val="both"/>
        <w:rPr>
          <w:color w:val="22272F"/>
          <w:sz w:val="28"/>
          <w:szCs w:val="28"/>
        </w:rPr>
      </w:pPr>
      <w:r>
        <w:rPr>
          <w:color w:val="22272F"/>
          <w:sz w:val="28"/>
          <w:szCs w:val="28"/>
        </w:rPr>
        <w:t>Выписка из книги в форме электронного документа подписывается усиленной квалифицированной </w:t>
      </w:r>
      <w:r>
        <w:rPr>
          <w:sz w:val="28"/>
          <w:szCs w:val="28"/>
        </w:rPr>
        <w:t>электронной подписью</w:t>
      </w:r>
      <w:r>
        <w:rPr>
          <w:color w:val="22272F"/>
          <w:sz w:val="28"/>
          <w:szCs w:val="28"/>
        </w:rPr>
        <w:t> главы уполномоченного органа или уполномоченным им должностным лицом.</w:t>
      </w:r>
    </w:p>
    <w:p>
      <w:pPr>
        <w:pStyle w:val="10"/>
        <w:shd w:val="clear" w:color="auto" w:fill="FFFFFF"/>
        <w:spacing w:before="0" w:beforeAutospacing="0" w:after="0" w:afterAutospacing="0"/>
        <w:ind w:firstLine="567"/>
        <w:jc w:val="both"/>
        <w:rPr>
          <w:color w:val="22272F"/>
          <w:sz w:val="28"/>
          <w:szCs w:val="28"/>
        </w:rPr>
      </w:pPr>
      <w:r>
        <w:rPr>
          <w:color w:val="22272F"/>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pPr>
        <w:pStyle w:val="10"/>
        <w:shd w:val="clear" w:color="auto" w:fill="FFFFFF"/>
        <w:spacing w:before="0" w:beforeAutospacing="0" w:after="0" w:afterAutospacing="0"/>
        <w:ind w:firstLine="567"/>
        <w:jc w:val="both"/>
        <w:rPr>
          <w:color w:val="22272F"/>
          <w:sz w:val="28"/>
          <w:szCs w:val="28"/>
        </w:rPr>
      </w:pPr>
      <w:r>
        <w:rPr>
          <w:color w:val="22272F"/>
          <w:sz w:val="28"/>
          <w:szCs w:val="28"/>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pPr>
        <w:pStyle w:val="10"/>
        <w:shd w:val="clear" w:color="auto" w:fill="FFFFFF"/>
        <w:spacing w:before="0"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МФЦ или с использованием Единого портала государственных и муниципальных услуг.</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Максимальный срок ожидания в очереди при подаче заявления для предоставления муниципальной услуги составляет не более 15 минут.</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Правовые основания для предоставления</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pPr>
        <w:autoSpaceDE w:val="0"/>
        <w:autoSpaceDN w:val="0"/>
        <w:adjustRightInd w:val="0"/>
        <w:spacing w:after="0" w:line="240" w:lineRule="auto"/>
        <w:ind w:firstLine="567"/>
        <w:jc w:val="center"/>
        <w:rPr>
          <w:rFonts w:ascii="Times New Roman" w:hAnsi="Times New Roman" w:cs="Times New Roman"/>
          <w:b/>
          <w:bCs/>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w:t>
      </w:r>
      <w:r>
        <w:rPr>
          <w:rFonts w:ascii="Times New Roman" w:hAnsi="Times New Roman" w:cs="Times New Roman"/>
          <w:sz w:val="28"/>
          <w:szCs w:val="28"/>
          <w:lang w:val="ru-RU"/>
        </w:rPr>
        <w:t>муниципального</w:t>
      </w:r>
      <w:r>
        <w:rPr>
          <w:rFonts w:hint="default" w:ascii="Times New Roman" w:hAnsi="Times New Roman" w:cs="Times New Roman"/>
          <w:sz w:val="28"/>
          <w:szCs w:val="28"/>
          <w:lang w:val="ru-RU"/>
        </w:rPr>
        <w:t xml:space="preserve"> образования Кислинский сельсовет</w:t>
      </w:r>
      <w:r>
        <w:rPr>
          <w:rFonts w:ascii="Times New Roman" w:hAnsi="Times New Roman" w:cs="Times New Roman"/>
          <w:sz w:val="28"/>
          <w:szCs w:val="28"/>
        </w:rPr>
        <w:t>, на Едином портале государственных и муниципальных услуг.</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Pr>
          <w:rFonts w:ascii="Times New Roman" w:hAnsi="Times New Roman" w:cs="Times New Roman"/>
          <w:color w:val="000000" w:themeColor="text1"/>
          <w:sz w:val="28"/>
          <w:szCs w:val="28"/>
          <w14:textFill>
            <w14:solidFill>
              <w14:schemeClr w14:val="tx1"/>
            </w14:solidFill>
          </w14:textFill>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Pr>
          <w:rFonts w:ascii="Times New Roman" w:hAnsi="Times New Roman" w:cs="Times New Roman"/>
          <w:sz w:val="28"/>
          <w:szCs w:val="28"/>
        </w:rPr>
        <w:t>на Едином портале государственных и муниципальных услуг.</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bookmarkStart w:id="1" w:name="Par98"/>
      <w:bookmarkEnd w:id="1"/>
      <w:r>
        <w:rPr>
          <w:rFonts w:ascii="Times New Roman" w:hAnsi="Times New Roman" w:cs="Times New Roman"/>
          <w:b/>
          <w:bCs/>
          <w:sz w:val="28"/>
          <w:szCs w:val="28"/>
        </w:rPr>
        <w:t>Исчерпывающий перечень документов, необходимых</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муниципальной услуги </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bookmarkStart w:id="2" w:name="Par106"/>
      <w:bookmarkEnd w:id="2"/>
      <w:r>
        <w:rPr>
          <w:rFonts w:ascii="Times New Roman" w:hAnsi="Times New Roman" w:cs="Times New Roman"/>
          <w:sz w:val="28"/>
          <w:szCs w:val="28"/>
        </w:rPr>
        <w:t>24. Для получения муниципальной услуги заявителем самостоятельно предоставляются следующие документы:</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копия документа, удостоверяющего личность заявителя, (подлинник для ознакомления);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В случае представления заявителем документов, предусмотренных </w:t>
      </w:r>
      <w:r>
        <w:fldChar w:fldCharType="begin"/>
      </w:r>
      <w:r>
        <w:instrText xml:space="preserve"> HYPERLINK "consultantplus://offline/ref=57FF2AFF27C58A55EB61BA1BC2FD7DE6DDA8B3410A5BF304928BF595ED4D13FAACC3FFBAC487173F6C9815C23A768146BDAB8F84iDe3L" </w:instrText>
      </w:r>
      <w:r>
        <w:fldChar w:fldCharType="separate"/>
      </w:r>
      <w:r>
        <w:rPr>
          <w:rFonts w:ascii="Times New Roman" w:hAnsi="Times New Roman" w:cs="Times New Roman"/>
          <w:color w:val="0000FF"/>
          <w:sz w:val="28"/>
          <w:szCs w:val="28"/>
        </w:rPr>
        <w:t>частью 6 статьи 7</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Уполномоченный орган не вправе требовать от заявителя: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w:t>
      </w:r>
      <w:r>
        <w:rPr>
          <w:rFonts w:ascii="Times New Roman" w:hAnsi="Times New Roman" w:cs="Times New Roman"/>
          <w:sz w:val="28"/>
          <w:szCs w:val="28"/>
          <w:lang w:val="ru-RU"/>
        </w:rPr>
        <w:t>муниципального</w:t>
      </w:r>
      <w:r>
        <w:rPr>
          <w:rFonts w:hint="default" w:ascii="Times New Roman" w:hAnsi="Times New Roman" w:cs="Times New Roman"/>
          <w:sz w:val="28"/>
          <w:szCs w:val="28"/>
          <w:lang w:val="ru-RU"/>
        </w:rPr>
        <w:t xml:space="preserve"> образования Кислинский сельсовет,</w:t>
      </w:r>
      <w:r>
        <w:rPr>
          <w:rFonts w:ascii="Times New Roman" w:hAnsi="Times New Roman" w:cs="Times New Roman"/>
          <w:sz w:val="28"/>
          <w:szCs w:val="28"/>
        </w:rPr>
        <w:t xml:space="preserve">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fldChar w:fldCharType="begin"/>
      </w:r>
      <w:r>
        <w:instrText xml:space="preserve"> HYPERLINK "consultantplus://offline/ref=BAF7B9C372E5422CCCF0B5EDF69CB6F06D431A984999842B778C3B20A9D1DE8B94996B6F41A99B083795FCD69AFE41A1C70D0A03Q5ZDL" </w:instrText>
      </w:r>
      <w:r>
        <w:fldChar w:fldCharType="separate"/>
      </w:r>
      <w:r>
        <w:rPr>
          <w:rFonts w:ascii="Times New Roman" w:hAnsi="Times New Roman" w:cs="Times New Roman"/>
          <w:color w:val="0000FF"/>
          <w:sz w:val="28"/>
          <w:szCs w:val="28"/>
        </w:rPr>
        <w:t>части 6 статьи 7</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fldChar w:fldCharType="begin"/>
      </w:r>
      <w:r>
        <w:instrText xml:space="preserve"> HYPERLINK "consultantplus://offline/ref=BAF7B9C372E5422CCCF0B5EDF69CB6F06D431A984999842B778C3B20A9D1DE8B94996B6A42A2CC5C71CBA585DFB54CA1D8110A0341EA7EA3Q0Z8L" </w:instrText>
      </w:r>
      <w:r>
        <w:fldChar w:fldCharType="separate"/>
      </w:r>
      <w:r>
        <w:rPr>
          <w:rFonts w:ascii="Times New Roman" w:hAnsi="Times New Roman" w:cs="Times New Roman"/>
          <w:color w:val="0000FF"/>
          <w:sz w:val="28"/>
          <w:szCs w:val="28"/>
        </w:rPr>
        <w:t>частью 1.1 статьи 16</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8"/>
        <w:ind w:firstLine="567"/>
        <w:jc w:val="both"/>
        <w:rPr>
          <w:rFonts w:ascii="Times New Roman" w:hAnsi="Times New Roman" w:cs="Times New Roman"/>
          <w:sz w:val="28"/>
          <w:szCs w:val="28"/>
        </w:rPr>
      </w:pPr>
      <w:r>
        <w:rPr>
          <w:rFonts w:ascii="Times New Roman" w:hAnsi="Times New Roman" w:cs="Times New Roman"/>
          <w:sz w:val="28"/>
          <w:szCs w:val="28"/>
        </w:rPr>
        <w:t xml:space="preserve">д)предоставления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"consultantplus://offline/ref=4828125D80DDBA21EE115D27836B55F33EA6927C1F173839C3ADC741A264EC9AAD757B4D17A3BF863EDE61B55112C4AC29D7A762B8rBXCL" </w:instrText>
      </w:r>
      <w:r>
        <w:fldChar w:fldCharType="separate"/>
      </w:r>
      <w:r>
        <w:rPr>
          <w:rFonts w:ascii="Times New Roman" w:hAnsi="Times New Roman" w:cs="Times New Roman"/>
          <w:color w:val="0000FF"/>
          <w:sz w:val="28"/>
          <w:szCs w:val="28"/>
        </w:rPr>
        <w:t>пунктом 7.2 части 1 статьи 16</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8"/>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документов, необходимых для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 Основанием для отказа в приеме документов, необходимых для предоставления муниципальной услуги, является: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подписано лицом, не имеющим полномочий на подписание заявления;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 заявлению не приложены необходимые документы. </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30. Приостановление предоставления муниципальной услуги не производится.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 Уполномоченный орган принимает решение об отказе в предоставлении муниципальной услуги в случае: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предоставление заявителем недостоверных документов;</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непредоставления (предоставления не в полном объеме) необходимых документов;</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отсутствие в похозяйственной книге информации, запрашиваемой заявителем.</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 Уполномоченным органом должны быть указаны причины отказа в предоставлении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Размер платы, взимаемой с заявителя при предоставлении</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и способы ее взимания</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 Предоставление муниципальной услуги осуществляется бесплатно.</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Максимальный срок ожидания в очереди при подаче заявителем </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запроса о предоставлении муниципальной услуги и при получении результата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 регистрации запроса заявителя</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о предоставлении муниципальной услуги </w:t>
      </w:r>
    </w:p>
    <w:p>
      <w:pPr>
        <w:autoSpaceDE w:val="0"/>
        <w:autoSpaceDN w:val="0"/>
        <w:adjustRightInd w:val="0"/>
        <w:spacing w:after="0" w:line="240" w:lineRule="auto"/>
        <w:ind w:firstLine="567"/>
        <w:jc w:val="center"/>
        <w:rPr>
          <w:rFonts w:ascii="Times New Roman" w:hAnsi="Times New Roman" w:cs="Times New Roman"/>
          <w:b/>
          <w:bCs/>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 Срок регистрации заявления о предоставлении муниципальной услуги не может превышать двадцати минут.</w:t>
      </w:r>
    </w:p>
    <w:p>
      <w:pPr>
        <w:tabs>
          <w:tab w:val="left" w:pos="1647"/>
        </w:tabs>
        <w:spacing w:line="318" w:lineRule="exact"/>
        <w:ind w:firstLine="567"/>
        <w:jc w:val="both"/>
        <w:rPr>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Требования к помещениям, в которых предоставляются</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муниципальные услуги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допуск сурдопереводчика и тифлосурдопереводчика;</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Pr>
          <w:rFonts w:ascii="Times New Roman" w:hAnsi="Times New Roman" w:cs="Times New Roman"/>
          <w:sz w:val="28"/>
          <w:szCs w:val="28"/>
          <w:lang w:val="ru-RU"/>
        </w:rPr>
        <w:t>Кислинский</w:t>
      </w:r>
      <w:r>
        <w:rPr>
          <w:rFonts w:hint="default" w:ascii="Times New Roman" w:hAnsi="Times New Roman" w:cs="Times New Roman"/>
          <w:sz w:val="28"/>
          <w:szCs w:val="28"/>
          <w:lang w:val="ru-RU"/>
        </w:rPr>
        <w:t xml:space="preserve"> сельсовет</w:t>
      </w:r>
      <w:r>
        <w:rPr>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 Прием документов в уполномоченном органе осуществляется в специально оборудованных помещениях или отведенных для этого кабинетах.</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Информационные стенды размещаются на видном, доступном месте.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комфортное расположение заявителя и должностного лица уполномоченного органа;</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оформления заявителем письменного обращения;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телефонную связь;</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копирования документов;</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наличие письменных принадлежностей и бумаги формата A4.</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Показатели доступности и качества муниципальной услуги</w:t>
      </w:r>
    </w:p>
    <w:p>
      <w:pPr>
        <w:autoSpaceDE w:val="0"/>
        <w:autoSpaceDN w:val="0"/>
        <w:adjustRightInd w:val="0"/>
        <w:spacing w:after="0" w:line="240" w:lineRule="auto"/>
        <w:ind w:firstLine="567"/>
        <w:jc w:val="center"/>
        <w:rPr>
          <w:rFonts w:ascii="Times New Roman" w:hAnsi="Times New Roman" w:cs="Times New Roman"/>
          <w:b/>
          <w:bCs/>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 Показателями доступности и качества предоставления муниципальной услуги являются: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r>
        <w:fldChar w:fldCharType="begin"/>
      </w:r>
      <w:r>
        <w:instrText xml:space="preserve"> HYPERLINK \l "Par468" </w:instrText>
      </w:r>
      <w:r>
        <w:fldChar w:fldCharType="separate"/>
      </w:r>
      <w:r>
        <w:rPr>
          <w:rFonts w:ascii="Times New Roman" w:hAnsi="Times New Roman" w:cs="Times New Roman"/>
          <w:color w:val="0000FF"/>
          <w:sz w:val="28"/>
          <w:szCs w:val="28"/>
        </w:rPr>
        <w:t>разделом 4</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доступность электронных форм документов необходимых для предоставления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через МФЦ;</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pPr>
        <w:autoSpaceDE w:val="0"/>
        <w:autoSpaceDN w:val="0"/>
        <w:adjustRightInd w:val="0"/>
        <w:spacing w:after="0" w:line="240" w:lineRule="auto"/>
        <w:ind w:firstLine="567"/>
        <w:jc w:val="center"/>
        <w:rPr>
          <w:rFonts w:ascii="Times New Roman" w:hAnsi="Times New Roman" w:cs="Times New Roman"/>
          <w:b/>
          <w:bCs/>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 Перечень услуг, которые являются необходимыми и обязательными для предоставления муниципальной услуги, отсутствует.</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autoSpaceDE w:val="0"/>
        <w:autoSpaceDN w:val="0"/>
        <w:adjustRightInd w:val="0"/>
        <w:spacing w:after="0" w:line="240" w:lineRule="auto"/>
        <w:ind w:firstLine="567"/>
        <w:jc w:val="both"/>
        <w:rPr>
          <w:rFonts w:ascii="Times New Roman" w:hAnsi="Times New Roman" w:cs="Times New Roman"/>
          <w:sz w:val="28"/>
          <w:szCs w:val="28"/>
        </w:rPr>
      </w:pPr>
      <w:bookmarkStart w:id="3" w:name="Par263"/>
      <w:bookmarkEnd w:id="3"/>
      <w:r>
        <w:rPr>
          <w:rFonts w:ascii="Times New Roman" w:hAnsi="Times New Roman" w:cs="Times New Roman"/>
          <w:sz w:val="28"/>
          <w:szCs w:val="28"/>
        </w:rPr>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через МФЦ в уполномоченный орган;</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Pr>
          <w:rFonts w:ascii="Times New Roman" w:hAnsi="Times New Roman" w:cs="Times New Roman"/>
          <w:sz w:val="28"/>
          <w:szCs w:val="28"/>
          <w:lang w:val="ru-RU"/>
        </w:rPr>
        <w:t>МФЦ</w:t>
      </w:r>
      <w:r>
        <w:rPr>
          <w:rFonts w:ascii="Times New Roman" w:hAnsi="Times New Roman" w:cs="Times New Roman"/>
          <w:sz w:val="28"/>
          <w:szCs w:val="28"/>
        </w:rPr>
        <w:t xml:space="preserve"> и администрацией </w:t>
      </w:r>
      <w:r>
        <w:rPr>
          <w:rFonts w:ascii="Times New Roman" w:hAnsi="Times New Roman" w:cs="Times New Roman"/>
          <w:sz w:val="28"/>
          <w:szCs w:val="28"/>
          <w:lang w:val="ru-RU"/>
        </w:rPr>
        <w:t>муниципальным</w:t>
      </w:r>
      <w:r>
        <w:rPr>
          <w:rFonts w:hint="default" w:ascii="Times New Roman" w:hAnsi="Times New Roman" w:cs="Times New Roman"/>
          <w:sz w:val="28"/>
          <w:szCs w:val="28"/>
          <w:lang w:val="ru-RU"/>
        </w:rPr>
        <w:t xml:space="preserve"> образованием Кислинский сельсовет </w:t>
      </w:r>
      <w:r>
        <w:rPr>
          <w:rFonts w:ascii="Times New Roman" w:hAnsi="Times New Roman" w:cs="Times New Roman"/>
          <w:sz w:val="28"/>
          <w:szCs w:val="28"/>
        </w:rPr>
        <w:t>соглашения и дополнительных соглашений к нему.</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r>
        <w:fldChar w:fldCharType="begin"/>
      </w:r>
      <w:r>
        <w:instrText xml:space="preserve"> HYPERLINK "consultantplus://offline/ref=57FF2AFF27C58A55EB61BA1BC2FD7DE6DDA8B3410A5BF304928BF595ED4D13FAACC3FFBFCCD8122A7DC01AC12568835AA1A98Di8e4L" </w:instrText>
      </w:r>
      <w:r>
        <w:fldChar w:fldCharType="separate"/>
      </w:r>
      <w:r>
        <w:rPr>
          <w:rFonts w:ascii="Times New Roman" w:hAnsi="Times New Roman" w:cs="Times New Roman"/>
          <w:color w:val="0000FF"/>
          <w:sz w:val="28"/>
          <w:szCs w:val="28"/>
        </w:rPr>
        <w:t>статей 21.1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и </w:t>
      </w:r>
      <w:r>
        <w:fldChar w:fldCharType="begin"/>
      </w:r>
      <w:r>
        <w:instrText xml:space="preserve"> HYPERLINK "consultantplus://offline/ref=57FF2AFF27C58A55EB61BA1BC2FD7DE6DDA8B3410A5BF304928BF595ED4D13FAACC3FFBACCD8122A7DC01AC12568835AA1A98Di8e4L" </w:instrText>
      </w:r>
      <w:r>
        <w:fldChar w:fldCharType="separate"/>
      </w:r>
      <w:r>
        <w:rPr>
          <w:rFonts w:ascii="Times New Roman" w:hAnsi="Times New Roman" w:cs="Times New Roman"/>
          <w:color w:val="0000FF"/>
          <w:sz w:val="28"/>
          <w:szCs w:val="28"/>
        </w:rPr>
        <w:t>21.2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r>
        <w:fldChar w:fldCharType="begin"/>
      </w:r>
      <w:r>
        <w:instrText xml:space="preserve"> HYPERLINK "consultantplus://offline/ref=57FF2AFF27C58A55EB61BA1BC2FD7DE6DDA6B84F0356F304928BF595ED4D13FABEC3A7B3C58D5D6E2AD31AC039i6eAL" </w:instrText>
      </w:r>
      <w:r>
        <w:fldChar w:fldCharType="separate"/>
      </w:r>
      <w:r>
        <w:rPr>
          <w:rFonts w:ascii="Times New Roman" w:hAnsi="Times New Roman" w:cs="Times New Roman"/>
          <w:color w:val="0000FF"/>
          <w:sz w:val="28"/>
          <w:szCs w:val="28"/>
        </w:rPr>
        <w:t>закона</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от 6 апреля 2011 года N 63-ФЗ "Об электронной подписи".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r>
        <w:fldChar w:fldCharType="begin"/>
      </w:r>
      <w:r>
        <w:instrText xml:space="preserve"> HYPERLINK "consultantplus://offline/ref=57FF2AFF27C58A55EB61BA1BC2FD7DE6DDA6B84F0356F304928BF595ED4D13FABEC3A7B3C58D5D6E2AD31AC039i6eAL" </w:instrText>
      </w:r>
      <w:r>
        <w:fldChar w:fldCharType="separate"/>
      </w:r>
      <w:r>
        <w:rPr>
          <w:rFonts w:ascii="Times New Roman" w:hAnsi="Times New Roman" w:cs="Times New Roman"/>
          <w:color w:val="0000FF"/>
          <w:sz w:val="28"/>
          <w:szCs w:val="28"/>
        </w:rPr>
        <w:t>закона</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от 6 апреля 2011 года N 63-ФЗ "Об электронной подписи".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 Заявителям обеспечивается возможность получения информации о предоставляемой муниципальной услуге на Едином портале.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Pr>
          <w:rFonts w:ascii="Times New Roman" w:hAnsi="Times New Roman" w:cs="Times New Roman"/>
          <w:sz w:val="28"/>
          <w:szCs w:val="28"/>
          <w:lang w:val="ru-RU"/>
        </w:rPr>
        <w:t>Кислинский</w:t>
      </w:r>
      <w:r>
        <w:rPr>
          <w:rFonts w:hint="default" w:ascii="Times New Roman" w:hAnsi="Times New Roman" w:cs="Times New Roman"/>
          <w:sz w:val="28"/>
          <w:szCs w:val="28"/>
          <w:lang w:val="ru-RU"/>
        </w:rPr>
        <w:t xml:space="preserve"> сельсовет</w:t>
      </w:r>
      <w:r>
        <w:rPr>
          <w:rFonts w:ascii="Times New Roman" w:hAnsi="Times New Roman" w:cs="Times New Roman"/>
          <w:sz w:val="28"/>
          <w:szCs w:val="28"/>
        </w:rPr>
        <w:t xml:space="preserve"> с перечнем оказываемых муниципальных услуг и информацией по каждой услуге.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3. Состав, последовательность и сроки выполнения</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w:t>
      </w:r>
    </w:p>
    <w:p>
      <w:pPr>
        <w:autoSpaceDE w:val="0"/>
        <w:autoSpaceDN w:val="0"/>
        <w:adjustRightInd w:val="0"/>
        <w:spacing w:after="0" w:line="240" w:lineRule="auto"/>
        <w:ind w:firstLine="567"/>
        <w:jc w:val="center"/>
        <w:rPr>
          <w:rFonts w:ascii="Times New Roman" w:hAnsi="Times New Roman" w:cs="Times New Roman"/>
          <w:b/>
          <w:bCs/>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pPr>
        <w:autoSpaceDE w:val="0"/>
        <w:autoSpaceDN w:val="0"/>
        <w:adjustRightInd w:val="0"/>
        <w:spacing w:after="0" w:line="240" w:lineRule="auto"/>
        <w:ind w:firstLine="567"/>
        <w:jc w:val="center"/>
        <w:rPr>
          <w:rFonts w:ascii="Times New Roman" w:hAnsi="Times New Roman" w:cs="Times New Roman"/>
          <w:b/>
          <w:bCs/>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 Варианты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выдача выписки из похозяйственной книги;</w:t>
      </w:r>
    </w:p>
    <w:p>
      <w:pPr>
        <w:pStyle w:val="13"/>
        <w:ind w:firstLine="567"/>
        <w:jc w:val="both"/>
        <w:rPr>
          <w:rFonts w:ascii="Times New Roman" w:hAnsi="Times New Roman" w:cs="Times New Roman"/>
          <w:sz w:val="28"/>
          <w:szCs w:val="28"/>
        </w:rPr>
      </w:pPr>
      <w:r>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Выдача дубликата не предусмотрена.</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 Предоставление муниципальной услуги включает в себя последовательность следующих административных процедур:</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передача пакета документов из МФЦ в уполномоченный орган;</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прилагаемых к нему документов уполномоченным органом;</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передача документов из уполномоченного органа в МФЦ для выдачи заявителю;</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 результата муниципальной услуги заявителю.</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pPr>
        <w:pStyle w:val="13"/>
        <w:ind w:firstLine="709"/>
        <w:jc w:val="center"/>
        <w:rPr>
          <w:rFonts w:ascii="Times New Roman" w:hAnsi="Times New Roman" w:cs="Times New Roman"/>
          <w:b/>
          <w:bCs/>
          <w:sz w:val="28"/>
          <w:szCs w:val="28"/>
          <w:highlight w:val="yellow"/>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Профилирование заявителя</w:t>
      </w:r>
    </w:p>
    <w:p>
      <w:pPr>
        <w:autoSpaceDE w:val="0"/>
        <w:autoSpaceDN w:val="0"/>
        <w:adjustRightInd w:val="0"/>
        <w:spacing w:after="0" w:line="240" w:lineRule="auto"/>
        <w:ind w:firstLine="567"/>
        <w:jc w:val="center"/>
        <w:rPr>
          <w:rFonts w:ascii="Times New Roman" w:hAnsi="Times New Roman" w:cs="Times New Roman"/>
          <w:b/>
          <w:bCs/>
          <w:sz w:val="28"/>
          <w:szCs w:val="28"/>
        </w:rPr>
      </w:pPr>
    </w:p>
    <w:p>
      <w:pPr>
        <w:spacing w:after="0" w:line="240" w:lineRule="auto"/>
        <w:ind w:firstLine="567"/>
        <w:jc w:val="both"/>
        <w:outlineLvl w:val="2"/>
        <w:rPr>
          <w:rFonts w:ascii="Times New Roman" w:hAnsi="Times New Roman" w:cs="Times New Roman"/>
          <w:bCs/>
          <w:color w:val="FF0000"/>
          <w:sz w:val="28"/>
          <w:szCs w:val="28"/>
        </w:rPr>
      </w:pPr>
      <w:r>
        <w:rPr>
          <w:rFonts w:ascii="Times New Roman" w:hAnsi="Times New Roman" w:cs="Times New Roman"/>
          <w:bCs/>
          <w:sz w:val="28"/>
          <w:szCs w:val="28"/>
        </w:rPr>
        <w:t xml:space="preserve">54.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pPr>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Профилирование осуществляется: при обращении заявителя посредством Единого портала либо через МФЦ.</w:t>
      </w:r>
    </w:p>
    <w:p>
      <w:pPr>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pPr>
        <w:autoSpaceDE w:val="0"/>
        <w:autoSpaceDN w:val="0"/>
        <w:adjustRightInd w:val="0"/>
        <w:spacing w:after="0" w:line="240" w:lineRule="auto"/>
        <w:ind w:firstLine="567"/>
        <w:jc w:val="center"/>
        <w:rPr>
          <w:rFonts w:ascii="Times New Roman" w:hAnsi="Times New Roman" w:cs="Times New Roman"/>
          <w:b/>
          <w:bCs/>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Последовательность выполнения административных процедур</w:t>
      </w:r>
    </w:p>
    <w:p>
      <w:pPr>
        <w:autoSpaceDE w:val="0"/>
        <w:autoSpaceDN w:val="0"/>
        <w:adjustRightInd w:val="0"/>
        <w:spacing w:after="0" w:line="240" w:lineRule="auto"/>
        <w:ind w:firstLine="567"/>
        <w:jc w:val="center"/>
        <w:rPr>
          <w:rFonts w:ascii="Times New Roman" w:hAnsi="Times New Roman" w:cs="Times New Roman"/>
          <w:b/>
          <w:bCs/>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Описание варианта предоставления муниципальной услуги</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«Выдача выписки из похозяйственной книги»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заявления с необходимыми документами.</w:t>
      </w:r>
    </w:p>
    <w:p>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56. Заявление и прилагаемые к нему документы</w:t>
      </w:r>
      <w:r>
        <w:rPr>
          <w:rFonts w:ascii="Times New Roman" w:hAnsi="Times New Roman" w:cs="Times New Roman"/>
          <w:color w:val="22272F"/>
          <w:sz w:val="28"/>
          <w:szCs w:val="28"/>
          <w:shd w:val="clear" w:color="auto" w:fill="FFFFFF"/>
        </w:rPr>
        <w:t xml:space="preserve"> подаются в МФЦ по выбору заявителя независимо от его места жительства или места пребывания. </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Порядок приема документов в МФЦ:</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приеме заявления и прилагаемых к нему документов работник МФЦ:</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тексты документов написаны разборчиво;</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фамилии, имена и отчества физических лиц, адреса их мест жительства написаны полностью;</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документы не исполнены карандашом;</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действия документов не истек;</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документы представлены в полном объеме.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 сроке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 возможности отказа в предоставлении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r>
        <w:fldChar w:fldCharType="begin"/>
      </w:r>
      <w:r>
        <w:instrText xml:space="preserve"> HYPERLINK "consultantplus://offline/ref=57FF2AFF27C58A55EB61BA1BC2FD7DE6DDA8B3410A5BF304928BF595ED4D13FAACC3FFBFC285483A79894DCD39699F44A1B78D86D3iAe6L" </w:instrText>
      </w:r>
      <w:r>
        <w:fldChar w:fldCharType="separate"/>
      </w:r>
      <w:r>
        <w:rPr>
          <w:rFonts w:ascii="Times New Roman" w:hAnsi="Times New Roman" w:cs="Times New Roman"/>
          <w:color w:val="0000FF"/>
          <w:sz w:val="28"/>
          <w:szCs w:val="28"/>
        </w:rPr>
        <w:t>пункта 2 части 1 статьи 7</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r>
        <w:fldChar w:fldCharType="begin"/>
      </w:r>
      <w:r>
        <w:instrText xml:space="preserve"> HYPERLINK "consultantplus://offline/ref=57FF2AFF27C58A55EB61BA1BC2FD7DE6DDA8B3410A5BF304928BF595ED4D13FAACC3FFBDC785483A79894DCD39699F44A1B78D86D3iAe6L" </w:instrText>
      </w:r>
      <w:r>
        <w:fldChar w:fldCharType="separate"/>
      </w:r>
      <w:r>
        <w:rPr>
          <w:rFonts w:ascii="Times New Roman" w:hAnsi="Times New Roman" w:cs="Times New Roman"/>
          <w:color w:val="0000FF"/>
          <w:sz w:val="28"/>
          <w:szCs w:val="28"/>
        </w:rPr>
        <w:t>части 2 статьи 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r>
        <w:fldChar w:fldCharType="begin"/>
      </w:r>
      <w:r>
        <w:instrText xml:space="preserve"> HYPERLINK "consultantplus://offline/ref=57FF2AFF27C58A55EB61BA1BC2FD7DE6DDA8B3410A5BF304928BF595ED4D13FABEC3A7B3C58D5D6E2AD31AC039i6eAL" </w:instrText>
      </w:r>
      <w:r>
        <w:fldChar w:fldCharType="separate"/>
      </w:r>
      <w:r>
        <w:rPr>
          <w:rFonts w:ascii="Times New Roman" w:hAnsi="Times New Roman" w:cs="Times New Roman"/>
          <w:color w:val="0000FF"/>
          <w:sz w:val="28"/>
          <w:szCs w:val="28"/>
        </w:rPr>
        <w:t>N 210-ФЗ</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r>
        <w:fldChar w:fldCharType="begin"/>
      </w:r>
      <w:r>
        <w:instrText xml:space="preserve"> HYPERLINK "consultantplus://offline/ref=57FF2AFF27C58A55EB61BA1BC2FD7DE6DDA6B84F0356F304928BF595ED4D13FABEC3A7B3C58D5D6E2AD31AC039i6eAL" </w:instrText>
      </w:r>
      <w:r>
        <w:fldChar w:fldCharType="separate"/>
      </w:r>
      <w:r>
        <w:rPr>
          <w:rFonts w:ascii="Times New Roman" w:hAnsi="Times New Roman" w:cs="Times New Roman"/>
          <w:color w:val="0000FF"/>
          <w:sz w:val="28"/>
          <w:szCs w:val="28"/>
        </w:rPr>
        <w:t>N 63-ФЗ</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"Об электронной подписи".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 Передача курьером пакета документов из МФЦ в уполномоченный орган (при подаче заявления о предоставлении муниципальной услуги через МФЦ):</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60. Рассмотрение заявления и прилагаемых к нему документов уполномоченным органом:</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 Принятие уполномоченным органом решения о предоставлении или отказе (при наличии оснований) в предоставлении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осуществляет подготовку документов для предоставления выписки из похозяйственной книги; </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готовит проект письма об отказе в предоставлении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 xml:space="preserve">64. Результат предоставления муниципальной услуги </w:t>
      </w:r>
      <w:r>
        <w:rPr>
          <w:rFonts w:ascii="Times New Roman" w:hAnsi="Times New Roman" w:cs="Times New Roman"/>
          <w:color w:val="22272F"/>
          <w:sz w:val="28"/>
          <w:szCs w:val="28"/>
          <w:shd w:val="clear" w:color="auto" w:fill="FFFFFF"/>
        </w:rPr>
        <w:t xml:space="preserve">заявитель по своему выбору может получить </w:t>
      </w:r>
      <w:r>
        <w:rPr>
          <w:rFonts w:ascii="Times New Roman" w:hAnsi="Times New Roman" w:cs="Times New Roman"/>
          <w:sz w:val="28"/>
          <w:szCs w:val="28"/>
        </w:rPr>
        <w:t xml:space="preserve">в МФЦ </w:t>
      </w:r>
      <w:r>
        <w:rPr>
          <w:rFonts w:ascii="Times New Roman" w:hAnsi="Times New Roman" w:cs="Times New Roman"/>
          <w:color w:val="22272F"/>
          <w:sz w:val="28"/>
          <w:szCs w:val="28"/>
          <w:shd w:val="clear" w:color="auto" w:fill="FFFFFF"/>
        </w:rPr>
        <w:t>независимо от своего места жительства или места пребывания.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 результата муниципальной услуги заявителю.</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выдаче документов работник МФЦ:</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знакомит с содержанием документов и выдает их.</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письма об отказе в предоставлении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выдача выписки из похозяйственной книги.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 Особенности осуществления административных процедур в электронной форме.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получение заявителем сведений о ходе рассмотрения заявления;</w:t>
      </w:r>
    </w:p>
    <w:p>
      <w:pPr>
        <w:autoSpaceDE w:val="0"/>
        <w:autoSpaceDN w:val="0"/>
        <w:adjustRightInd w:val="0"/>
        <w:spacing w:after="0" w:line="240" w:lineRule="auto"/>
        <w:ind w:firstLine="567"/>
        <w:jc w:val="both"/>
        <w:rPr>
          <w:rFonts w:ascii="Times New Roman" w:hAnsi="Times New Roman" w:cs="Times New Roman"/>
          <w:sz w:val="28"/>
          <w:szCs w:val="28"/>
          <w:highlight w:val="none"/>
        </w:rPr>
      </w:pPr>
      <w:r>
        <w:rPr>
          <w:rFonts w:ascii="Times New Roman" w:hAnsi="Times New Roman" w:cs="Times New Roman"/>
          <w:sz w:val="28"/>
          <w:szCs w:val="28"/>
        </w:rPr>
        <w:t>получение заявителем результата предоставления муниципальной услуги.</w:t>
      </w:r>
    </w:p>
    <w:p>
      <w:pPr>
        <w:pStyle w:val="13"/>
        <w:ind w:firstLine="709"/>
        <w:jc w:val="center"/>
        <w:rPr>
          <w:rFonts w:ascii="Times New Roman" w:hAnsi="Times New Roman" w:cs="Times New Roman"/>
          <w:b/>
          <w:bCs/>
          <w:sz w:val="28"/>
          <w:szCs w:val="28"/>
          <w:highlight w:val="none"/>
        </w:rPr>
      </w:pPr>
      <w:r>
        <w:rPr>
          <w:rFonts w:ascii="Times New Roman" w:hAnsi="Times New Roman" w:cs="Times New Roman"/>
          <w:b/>
          <w:bCs/>
          <w:sz w:val="28"/>
          <w:szCs w:val="28"/>
          <w:highlight w:val="none"/>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pPr>
        <w:autoSpaceDE w:val="0"/>
        <w:autoSpaceDN w:val="0"/>
        <w:adjustRightInd w:val="0"/>
        <w:spacing w:after="0" w:line="240" w:lineRule="auto"/>
        <w:ind w:firstLine="567"/>
        <w:jc w:val="both"/>
        <w:rPr>
          <w:rFonts w:ascii="Times New Roman" w:hAnsi="Times New Roman" w:cs="Times New Roman"/>
          <w:b/>
          <w:bCs/>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66.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70.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pPr>
        <w:autoSpaceDE w:val="0"/>
        <w:autoSpaceDN w:val="0"/>
        <w:adjustRightInd w:val="0"/>
        <w:spacing w:after="0" w:line="240" w:lineRule="auto"/>
        <w:ind w:firstLine="567"/>
        <w:jc w:val="center"/>
        <w:rPr>
          <w:rFonts w:ascii="Times New Roman" w:hAnsi="Times New Roman" w:cs="Times New Roman"/>
          <w:b/>
          <w:bCs/>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4. Формы контроля за исполнением</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осуществления текущего контроля за соблюдением</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 положений</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 и иных нормативных правовых</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актов, устанавливающих требования к предоставлению</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а также принятием ими решений</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 Должностные лица, участвующие в предоставлении муниципальной услуги, руководствуются положениями настоящего регламента.</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и периодичность осуществления плановых</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внеплановых проверок полноты и качества предоставления</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в том числе порядок и формы контроля</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за полнотой и качеством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 Контроль за полнотой и качеством предоставления муниципальной услуги включает в себя проведение плановых и внеплановых проверок.</w:t>
      </w:r>
    </w:p>
    <w:p>
      <w:pPr>
        <w:autoSpaceDE w:val="0"/>
        <w:autoSpaceDN w:val="0"/>
        <w:adjustRightInd w:val="0"/>
        <w:spacing w:after="0" w:line="240" w:lineRule="auto"/>
        <w:ind w:firstLine="567"/>
        <w:jc w:val="both"/>
        <w:rPr>
          <w:rFonts w:hint="default" w:ascii="Times New Roman" w:hAnsi="Times New Roman" w:cs="Times New Roman"/>
          <w:sz w:val="28"/>
          <w:szCs w:val="28"/>
          <w:lang w:val="ru-RU"/>
        </w:rPr>
      </w:pPr>
      <w:r>
        <w:rPr>
          <w:rFonts w:ascii="Times New Roman" w:hAnsi="Times New Roman" w:cs="Times New Roman"/>
          <w:sz w:val="28"/>
          <w:szCs w:val="28"/>
        </w:rPr>
        <w:t xml:space="preserve">Плановые и внеплановые проверки могут проводиться </w:t>
      </w:r>
      <w:r>
        <w:rPr>
          <w:rFonts w:ascii="Times New Roman" w:hAnsi="Times New Roman" w:cs="Times New Roman"/>
          <w:sz w:val="28"/>
          <w:szCs w:val="28"/>
          <w:lang w:val="ru-RU"/>
        </w:rPr>
        <w:t>один</w:t>
      </w:r>
      <w:r>
        <w:rPr>
          <w:rFonts w:hint="default" w:ascii="Times New Roman" w:hAnsi="Times New Roman" w:cs="Times New Roman"/>
          <w:sz w:val="28"/>
          <w:szCs w:val="28"/>
          <w:lang w:val="ru-RU"/>
        </w:rPr>
        <w:t xml:space="preserve"> раз в год.</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плановых и внеплановых проверок:</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Ответственность должностных лиц органа местного</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самоуправления за решения и действия (бездействие),</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принимаемые (осуществляемые) ими в ходе предоставления</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77.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Положения, характеризующие требования к порядку</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формам контроля за предоставлением муниципальной услуги,</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в том числе со стороны граждан, их объединений и организаций</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79.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5. Досудебный (внесудебный) порядок обжалования решений</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действий (бездействия) органов, предоставляющих</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муниципальных служащих, работников</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Способы информирования заявителя о его праве подать жалобу</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 решения и (или) действия (бездействие) органа,</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муниципальную услугу, МФЦ, организаций, а также их должностных лиц, муниципальных служащих, работников</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при предоставлении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80.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r>
        <w:fldChar w:fldCharType="begin"/>
      </w:r>
      <w:r>
        <w:instrText xml:space="preserve"> HYPERLINK "consultantplus://offline/ref=57FF2AFF27C58A55EB61BA1BC2FD7DE6DDA8B3410A5BF304928BF595ED4D13FAACC3FFBFC78C406B2AC64C917F3D8C46A2B78F84CFA6E80Ai7e1L" </w:instrText>
      </w:r>
      <w:r>
        <w:fldChar w:fldCharType="separate"/>
      </w:r>
      <w:r>
        <w:rPr>
          <w:rFonts w:ascii="Times New Roman" w:hAnsi="Times New Roman" w:cs="Times New Roman"/>
          <w:color w:val="0000FF"/>
          <w:sz w:val="28"/>
          <w:szCs w:val="28"/>
        </w:rPr>
        <w:t>частью 1.1 статьи 16</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r>
        <w:fldChar w:fldCharType="begin"/>
      </w:r>
      <w:r>
        <w:instrText xml:space="preserve"> HYPERLINK "consultantplus://offline/ref=57FF2AFF27C58A55EB61BA1BC2FD7DE6DDA8B3410A5BF304928BF595ED4D13FAACC3FFBFC78C406B2AC64C917F3D8C46A2B78F84CFA6E80Ai7e1L" </w:instrText>
      </w:r>
      <w:r>
        <w:fldChar w:fldCharType="separate"/>
      </w:r>
      <w:r>
        <w:rPr>
          <w:rFonts w:ascii="Times New Roman" w:hAnsi="Times New Roman" w:cs="Times New Roman"/>
          <w:color w:val="0000FF"/>
          <w:sz w:val="28"/>
          <w:szCs w:val="28"/>
        </w:rPr>
        <w:t>частью 1.1 статьи 16</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Предмет жалобы</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82.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r>
        <w:fldChar w:fldCharType="begin"/>
      </w:r>
      <w:r>
        <w:instrText xml:space="preserve"> HYPERLINK "consultantplus://offline/ref=57FF2AFF27C58A55EB61BA1BC2FD7DE6DDA8B3410A5BF304928BF595ED4D13FAACC3FFBFC78C406B2AC64C917F3D8C46A2B78F84CFA6E80Ai7e1L" </w:instrText>
      </w:r>
      <w:r>
        <w:fldChar w:fldCharType="separate"/>
      </w:r>
      <w:r>
        <w:rPr>
          <w:rFonts w:ascii="Times New Roman" w:hAnsi="Times New Roman" w:cs="Times New Roman"/>
          <w:color w:val="0000FF"/>
          <w:sz w:val="28"/>
          <w:szCs w:val="28"/>
        </w:rPr>
        <w:t>частью 1.1 статьи 16</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нарушение срока регистрации запроса о предоставлении муниципальной услуги, запроса, указанного в </w:t>
      </w:r>
      <w:r>
        <w:fldChar w:fldCharType="begin"/>
      </w:r>
      <w:r>
        <w:instrText xml:space="preserve"> HYPERLINK "consultantplus://offline/ref=57FF2AFF27C58A55EB61BA1BC2FD7DE6DDA8B3410A5BF304928BF595ED4D13FAACC3FFBCC388483A79894DCD39699F44A1B78D86D3iAe6L" </w:instrText>
      </w:r>
      <w:r>
        <w:fldChar w:fldCharType="separate"/>
      </w:r>
      <w:r>
        <w:rPr>
          <w:rFonts w:ascii="Times New Roman" w:hAnsi="Times New Roman" w:cs="Times New Roman"/>
          <w:color w:val="0000FF"/>
          <w:sz w:val="28"/>
          <w:szCs w:val="28"/>
        </w:rPr>
        <w:t>статье 15.1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нарушение срока предоставления муниципальной услуги уполномоченным органом;</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нарушение срока или порядка выдачи документов по результатам предоставления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приостановление предоставления муниципальной услуги уполномоченным органом;</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"consultantplus://offline/ref=57FF2AFF27C58A55EB61BA1BC2FD7DE6DDA8B3410A5BF304928BF595ED4D13FAACC3FFBCCE8C483A79894DCD39699F44A1B78D86D3iAe6L" </w:instrText>
      </w:r>
      <w:r>
        <w:fldChar w:fldCharType="separate"/>
      </w:r>
      <w:r>
        <w:rPr>
          <w:rFonts w:ascii="Times New Roman" w:hAnsi="Times New Roman" w:cs="Times New Roman"/>
          <w:color w:val="0000FF"/>
          <w:sz w:val="28"/>
          <w:szCs w:val="28"/>
        </w:rPr>
        <w:t>пунктом 4 части 1 статьи 7</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Орган, предоставляющий муниципальную услугу, МФЦ,</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 также их должностные лица, муниципальные служащие,</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работники и уполномоченные на рассмотрение жалобы</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должностные лица, которым может быть направлена жалоба</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bookmarkStart w:id="6" w:name="_GoBack"/>
      <w:bookmarkEnd w:id="6"/>
      <w:r>
        <w:rPr>
          <w:rFonts w:ascii="Times New Roman" w:hAnsi="Times New Roman" w:cs="Times New Roman"/>
          <w:sz w:val="28"/>
          <w:szCs w:val="28"/>
        </w:rPr>
        <w:t>83.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руководителя вышестоящего органа.</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 Жалоба на действия специалиста, подается главе муниципального образования.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86. Жалобы на решения и действия (бездействие) работника МФЦ подаются руководителю этого МФЦ. Жалобы на решения и действия (бездействие) МФЦ подаются в вышестоящий орган, являющийся учредителем МФЦ (далее - учредитель МФЦ), или должностному лицу.</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подачи и рассмотрения жалобы</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87.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89.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r>
        <w:fldChar w:fldCharType="begin"/>
      </w:r>
      <w:r>
        <w:instrText xml:space="preserve"> HYPERLINK "consultantplus://offline/ref=57FF2AFF27C58A55EB61BA1BC2FD7DE6DDA8B3410A5BF304928BF595ED4D13FAACC3FFBFC78B483A79894DCD39699F44A1B78D86D3iAe6L" </w:instrText>
      </w:r>
      <w:r>
        <w:fldChar w:fldCharType="separate"/>
      </w:r>
      <w:r>
        <w:rPr>
          <w:rFonts w:ascii="Times New Roman" w:hAnsi="Times New Roman" w:cs="Times New Roman"/>
          <w:color w:val="0000FF"/>
          <w:sz w:val="28"/>
          <w:szCs w:val="28"/>
        </w:rPr>
        <w:t>статьей 11.2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 Жалоба на решения и действия (бездействие) организаций, предусмотренных </w:t>
      </w:r>
      <w:r>
        <w:fldChar w:fldCharType="begin"/>
      </w:r>
      <w:r>
        <w:instrText xml:space="preserve"> HYPERLINK "consultantplus://offline/ref=57FF2AFF27C58A55EB61BA1BC2FD7DE6DDA8B3410A5BF304928BF595ED4D13FAACC3FFBFC78C406B2AC64C917F3D8C46A2B78F84CFA6E80Ai7e1L" </w:instrText>
      </w:r>
      <w:r>
        <w:fldChar w:fldCharType="separate"/>
      </w:r>
      <w:r>
        <w:rPr>
          <w:rFonts w:ascii="Times New Roman" w:hAnsi="Times New Roman" w:cs="Times New Roman"/>
          <w:color w:val="0000FF"/>
          <w:sz w:val="28"/>
          <w:szCs w:val="28"/>
        </w:rPr>
        <w:t>частью 1.1 статьи 16</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92.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93. Жалоба должна содержать:</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r>
        <w:fldChar w:fldCharType="begin"/>
      </w:r>
      <w:r>
        <w:instrText xml:space="preserve"> HYPERLINK "consultantplus://offline/ref=57FF2AFF27C58A55EB61BA1BC2FD7DE6DDA8B3410A5BF304928BF595ED4D13FAACC3FFBFC78C406B2AC64C917F3D8C46A2B78F84CFA6E80Ai7e1L" </w:instrText>
      </w:r>
      <w:r>
        <w:fldChar w:fldCharType="separate"/>
      </w:r>
      <w:r>
        <w:rPr>
          <w:rFonts w:ascii="Times New Roman" w:hAnsi="Times New Roman" w:cs="Times New Roman"/>
          <w:color w:val="0000FF"/>
          <w:sz w:val="28"/>
          <w:szCs w:val="28"/>
        </w:rPr>
        <w:t>частью 1.1 статьи 16</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r>
        <w:fldChar w:fldCharType="begin"/>
      </w:r>
      <w:r>
        <w:instrText xml:space="preserve"> HYPERLINK "consultantplus://offline/ref=57FF2AFF27C58A55EB61BA1BC2FD7DE6DDA8B3410A5BF304928BF595ED4D13FAACC3FFBFC78C406B2AC64C917F3D8C46A2B78F84CFA6E80Ai7e1L" </w:instrText>
      </w:r>
      <w:r>
        <w:fldChar w:fldCharType="separate"/>
      </w:r>
      <w:r>
        <w:rPr>
          <w:rFonts w:ascii="Times New Roman" w:hAnsi="Times New Roman" w:cs="Times New Roman"/>
          <w:color w:val="0000FF"/>
          <w:sz w:val="28"/>
          <w:szCs w:val="28"/>
        </w:rPr>
        <w:t>частью 1.1 статьи 16</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r>
        <w:fldChar w:fldCharType="begin"/>
      </w:r>
      <w:r>
        <w:instrText xml:space="preserve"> HYPERLINK "consultantplus://offline/ref=57FF2AFF27C58A55EB61BA1BC2FD7DE6DDA8B3410A5BF304928BF595ED4D13FAACC3FFBFC78C406B2AC64C917F3D8C46A2B78F84CFA6E80Ai7e1L" </w:instrText>
      </w:r>
      <w:r>
        <w:fldChar w:fldCharType="separate"/>
      </w:r>
      <w:r>
        <w:rPr>
          <w:rFonts w:ascii="Times New Roman" w:hAnsi="Times New Roman" w:cs="Times New Roman"/>
          <w:color w:val="0000FF"/>
          <w:sz w:val="28"/>
          <w:szCs w:val="28"/>
        </w:rPr>
        <w:t>частью 1.1 статьи 16</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Сроки рассмотрения жалобы</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94. Жалоба, поступившая в орган, предоставляющий муниципальную услугу, МФЦ, учредителю МФЦ, в организации, предусмотренные </w:t>
      </w:r>
      <w:r>
        <w:fldChar w:fldCharType="begin"/>
      </w:r>
      <w:r>
        <w:instrText xml:space="preserve"> HYPERLINK "consultantplus://offline/ref=57FF2AFF27C58A55EB61BA1BC2FD7DE6DDA8B3410A5BF304928BF595ED4D13FAACC3FFBFC78C406B2AC64C917F3D8C46A2B78F84CFA6E80Ai7e1L" </w:instrText>
      </w:r>
      <w:r>
        <w:fldChar w:fldCharType="separate"/>
      </w:r>
      <w:r>
        <w:rPr>
          <w:rFonts w:ascii="Times New Roman" w:hAnsi="Times New Roman" w:cs="Times New Roman"/>
          <w:color w:val="0000FF"/>
          <w:sz w:val="28"/>
          <w:szCs w:val="28"/>
        </w:rPr>
        <w:t>частью 1.1 статьи 16</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 Перечень оснований для приостановления рассмотрения жалобы </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95. Основания для приостановления рассмотрения жалобы отсутствуют.</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 рассмотрения жалобы</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96. По результатам рассмотрения жалобы принимается одно из следующих решений:</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удовлетворении жалобы отказывается.</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97.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99.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информирования заявителя</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 результатах рассмотрения жалобы</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bookmarkStart w:id="4" w:name="Par520"/>
      <w:bookmarkEnd w:id="4"/>
      <w:r>
        <w:rPr>
          <w:rFonts w:ascii="Times New Roman" w:hAnsi="Times New Roman" w:cs="Times New Roman"/>
          <w:sz w:val="28"/>
          <w:szCs w:val="28"/>
        </w:rPr>
        <w:t>101.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обжалования решения по жалобе</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103.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r>
        <w:fldChar w:fldCharType="begin"/>
      </w:r>
      <w:r>
        <w:instrText xml:space="preserve"> HYPERLINK "consultantplus://offline/ref=57FF2AFF27C58A55EB61BA1BC2FD7DE6DDA8B3410A5BF304928BF595ED4D13FAACC3FFBFC78C406B2AC64C917F3D8C46A2B78F84CFA6E80Ai7e1L" </w:instrText>
      </w:r>
      <w:r>
        <w:fldChar w:fldCharType="separate"/>
      </w:r>
      <w:r>
        <w:rPr>
          <w:rFonts w:ascii="Times New Roman" w:hAnsi="Times New Roman" w:cs="Times New Roman"/>
          <w:color w:val="0000FF"/>
          <w:sz w:val="28"/>
          <w:szCs w:val="28"/>
        </w:rPr>
        <w:t>частью 1.1 статьи 16</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Право заявителя на получение информации и документов,</w:t>
      </w:r>
    </w:p>
    <w:p>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обоснования и рассмотрения жалобы</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104. Заявители имеют право обратиться в уполномоченный орган, предоставляющий муниципальную услугу, МФЦ, а также организацию, предусмотренную </w:t>
      </w:r>
      <w:r>
        <w:fldChar w:fldCharType="begin"/>
      </w:r>
      <w:r>
        <w:instrText xml:space="preserve"> HYPERLINK "consultantplus://offline/ref=57FF2AFF27C58A55EB61BA1BC2FD7DE6DDA8B3410A5BF304928BF595ED4D13FAACC3FFBFC78C406B2AC64C917F3D8C46A2B78F84CFA6E80Ai7e1L" </w:instrText>
      </w:r>
      <w:r>
        <w:fldChar w:fldCharType="separate"/>
      </w:r>
      <w:r>
        <w:rPr>
          <w:rFonts w:ascii="Times New Roman" w:hAnsi="Times New Roman" w:cs="Times New Roman"/>
          <w:color w:val="0000FF"/>
          <w:sz w:val="28"/>
          <w:szCs w:val="28"/>
        </w:rPr>
        <w:t>частью 1.1 статьи 16</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pPr>
        <w:autoSpaceDE w:val="0"/>
        <w:autoSpaceDN w:val="0"/>
        <w:adjustRightInd w:val="0"/>
        <w:spacing w:after="0" w:line="240" w:lineRule="auto"/>
        <w:ind w:firstLine="567"/>
        <w:jc w:val="both"/>
        <w:rPr>
          <w:rFonts w:ascii="Times New Roman" w:hAnsi="Times New Roman" w:cs="Times New Roman"/>
          <w:sz w:val="28"/>
          <w:szCs w:val="28"/>
        </w:rPr>
      </w:pPr>
    </w:p>
    <w:p>
      <w:pPr>
        <w:autoSpaceDE w:val="0"/>
        <w:autoSpaceDN w:val="0"/>
        <w:adjustRightInd w:val="0"/>
        <w:spacing w:after="0" w:line="240" w:lineRule="auto"/>
        <w:ind w:firstLine="567"/>
        <w:jc w:val="both"/>
        <w:rPr>
          <w:rFonts w:ascii="Arial" w:hAnsi="Arial" w:cs="Arial"/>
          <w:sz w:val="20"/>
          <w:szCs w:val="20"/>
        </w:rPr>
      </w:pPr>
    </w:p>
    <w:p>
      <w:pPr>
        <w:autoSpaceDE w:val="0"/>
        <w:autoSpaceDN w:val="0"/>
        <w:adjustRightInd w:val="0"/>
        <w:spacing w:after="0" w:line="240" w:lineRule="auto"/>
        <w:ind w:left="4536"/>
        <w:outlineLvl w:val="0"/>
        <w:rPr>
          <w:rFonts w:ascii="Times New Roman" w:hAnsi="Times New Roman" w:cs="Times New Roman"/>
          <w:sz w:val="24"/>
          <w:szCs w:val="24"/>
        </w:rPr>
      </w:pPr>
      <w:r>
        <w:rPr>
          <w:rFonts w:ascii="Times New Roman" w:hAnsi="Times New Roman" w:cs="Times New Roman"/>
          <w:sz w:val="24"/>
          <w:szCs w:val="24"/>
        </w:rPr>
        <w:t>Приложение № 1</w:t>
      </w:r>
    </w:p>
    <w:p>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предоставления </w:t>
      </w:r>
    </w:p>
    <w:p>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муниципальной услуги: "Выдача</w:t>
      </w:r>
    </w:p>
    <w:p>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выписки из похозяйственной книги"</w:t>
      </w:r>
    </w:p>
    <w:p>
      <w:pPr>
        <w:autoSpaceDE w:val="0"/>
        <w:autoSpaceDN w:val="0"/>
        <w:adjustRightInd w:val="0"/>
        <w:spacing w:after="0" w:line="240" w:lineRule="auto"/>
        <w:ind w:left="4536"/>
        <w:rPr>
          <w:rFonts w:ascii="Times New Roman" w:hAnsi="Times New Roman" w:cs="Times New Roman"/>
          <w:sz w:val="28"/>
          <w:szCs w:val="28"/>
        </w:rPr>
      </w:pPr>
    </w:p>
    <w:tbl>
      <w:tblPr>
        <w:tblStyle w:val="3"/>
        <w:tblW w:w="0" w:type="auto"/>
        <w:tblInd w:w="0" w:type="dxa"/>
        <w:tblLayout w:type="fixed"/>
        <w:tblCellMar>
          <w:top w:w="102" w:type="dxa"/>
          <w:left w:w="62" w:type="dxa"/>
          <w:bottom w:w="102" w:type="dxa"/>
          <w:right w:w="62" w:type="dxa"/>
        </w:tblCellMar>
      </w:tblPr>
      <w:tblGrid>
        <w:gridCol w:w="554"/>
        <w:gridCol w:w="2665"/>
        <w:gridCol w:w="1259"/>
        <w:gridCol w:w="4592"/>
      </w:tblGrid>
      <w:tr>
        <w:tblPrEx>
          <w:tblCellMar>
            <w:top w:w="102" w:type="dxa"/>
            <w:left w:w="62" w:type="dxa"/>
            <w:bottom w:w="102" w:type="dxa"/>
            <w:right w:w="62" w:type="dxa"/>
          </w:tblCellMar>
        </w:tblPrEx>
        <w:tc>
          <w:tcPr>
            <w:tcW w:w="4478" w:type="dxa"/>
            <w:gridSpan w:val="3"/>
            <w:vMerge w:val="restart"/>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tblPrEx>
          <w:tblCellMar>
            <w:top w:w="102" w:type="dxa"/>
            <w:left w:w="62" w:type="dxa"/>
            <w:bottom w:w="102" w:type="dxa"/>
            <w:right w:w="62" w:type="dxa"/>
          </w:tblCellMar>
        </w:tblPrEx>
        <w:tc>
          <w:tcPr>
            <w:tcW w:w="4478" w:type="dxa"/>
            <w:gridSpan w:val="3"/>
            <w:vMerge w:val="continue"/>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tblPrEx>
          <w:tblCellMar>
            <w:top w:w="102" w:type="dxa"/>
            <w:left w:w="62" w:type="dxa"/>
            <w:bottom w:w="102" w:type="dxa"/>
            <w:right w:w="62" w:type="dxa"/>
          </w:tblCellMar>
        </w:tblPrEx>
        <w:tc>
          <w:tcPr>
            <w:tcW w:w="4478" w:type="dxa"/>
            <w:gridSpan w:val="3"/>
            <w:vMerge w:val="continue"/>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tblPrEx>
          <w:tblCellMar>
            <w:top w:w="102" w:type="dxa"/>
            <w:left w:w="62" w:type="dxa"/>
            <w:bottom w:w="102" w:type="dxa"/>
            <w:right w:w="62" w:type="dxa"/>
          </w:tblCellMar>
        </w:tblPrEx>
        <w:tc>
          <w:tcPr>
            <w:tcW w:w="4478" w:type="dxa"/>
            <w:gridSpan w:val="3"/>
            <w:vMerge w:val="continue"/>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r>
              <w:rPr>
                <w:rFonts w:ascii="Arial" w:hAnsi="Arial" w:cs="Arial"/>
                <w:sz w:val="20"/>
                <w:szCs w:val="20"/>
              </w:rPr>
              <w:t>(Ф.И.О. гражданина или лица, действующего</w:t>
            </w:r>
          </w:p>
        </w:tc>
      </w:tr>
      <w:tr>
        <w:tblPrEx>
          <w:tblCellMar>
            <w:top w:w="102" w:type="dxa"/>
            <w:left w:w="62" w:type="dxa"/>
            <w:bottom w:w="102" w:type="dxa"/>
            <w:right w:w="62" w:type="dxa"/>
          </w:tblCellMar>
        </w:tblPrEx>
        <w:tc>
          <w:tcPr>
            <w:tcW w:w="4478" w:type="dxa"/>
            <w:gridSpan w:val="3"/>
            <w:vMerge w:val="continue"/>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tblPrEx>
          <w:tblCellMar>
            <w:top w:w="102" w:type="dxa"/>
            <w:left w:w="62" w:type="dxa"/>
            <w:bottom w:w="102" w:type="dxa"/>
            <w:right w:w="62" w:type="dxa"/>
          </w:tblCellMar>
        </w:tblPrEx>
        <w:tc>
          <w:tcPr>
            <w:tcW w:w="4478" w:type="dxa"/>
            <w:gridSpan w:val="3"/>
            <w:vMerge w:val="continue"/>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p>
        </w:tc>
      </w:tr>
      <w:tr>
        <w:tblPrEx>
          <w:tblCellMar>
            <w:top w:w="102" w:type="dxa"/>
            <w:left w:w="62" w:type="dxa"/>
            <w:bottom w:w="102" w:type="dxa"/>
            <w:right w:w="62" w:type="dxa"/>
          </w:tblCellMar>
        </w:tblPrEx>
        <w:tc>
          <w:tcPr>
            <w:tcW w:w="4478" w:type="dxa"/>
            <w:gridSpan w:val="3"/>
            <w:vMerge w:val="continue"/>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tblPrEx>
          <w:tblCellMar>
            <w:top w:w="102" w:type="dxa"/>
            <w:left w:w="62" w:type="dxa"/>
            <w:bottom w:w="102" w:type="dxa"/>
            <w:right w:w="62" w:type="dxa"/>
          </w:tblCellMar>
        </w:tblPrEx>
        <w:tc>
          <w:tcPr>
            <w:tcW w:w="4478" w:type="dxa"/>
            <w:gridSpan w:val="3"/>
            <w:vMerge w:val="continue"/>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tblPrEx>
          <w:tblCellMar>
            <w:top w:w="102" w:type="dxa"/>
            <w:left w:w="62" w:type="dxa"/>
            <w:bottom w:w="102" w:type="dxa"/>
            <w:right w:w="62" w:type="dxa"/>
          </w:tblCellMar>
        </w:tblPrEx>
        <w:tc>
          <w:tcPr>
            <w:tcW w:w="4478" w:type="dxa"/>
            <w:gridSpan w:val="3"/>
            <w:vMerge w:val="continue"/>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tblPrEx>
          <w:tblCellMar>
            <w:top w:w="102" w:type="dxa"/>
            <w:left w:w="62" w:type="dxa"/>
            <w:bottom w:w="102" w:type="dxa"/>
            <w:right w:w="62" w:type="dxa"/>
          </w:tblCellMar>
        </w:tblPrEx>
        <w:tc>
          <w:tcPr>
            <w:tcW w:w="4478" w:type="dxa"/>
            <w:gridSpan w:val="3"/>
            <w:vMerge w:val="continue"/>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r>
              <w:rPr>
                <w:rFonts w:ascii="Arial" w:hAnsi="Arial" w:cs="Arial"/>
                <w:sz w:val="20"/>
                <w:szCs w:val="20"/>
              </w:rPr>
              <w:t>Адрес места жительства</w:t>
            </w:r>
          </w:p>
        </w:tc>
      </w:tr>
      <w:tr>
        <w:tblPrEx>
          <w:tblCellMar>
            <w:top w:w="102" w:type="dxa"/>
            <w:left w:w="62" w:type="dxa"/>
            <w:bottom w:w="102" w:type="dxa"/>
            <w:right w:w="62" w:type="dxa"/>
          </w:tblCellMar>
        </w:tblPrEx>
        <w:tc>
          <w:tcPr>
            <w:tcW w:w="4478" w:type="dxa"/>
            <w:gridSpan w:val="3"/>
            <w:vMerge w:val="continue"/>
          </w:tcPr>
          <w:p>
            <w:pPr>
              <w:autoSpaceDE w:val="0"/>
              <w:autoSpaceDN w:val="0"/>
              <w:adjustRightInd w:val="0"/>
              <w:spacing w:after="0" w:line="240" w:lineRule="auto"/>
              <w:rPr>
                <w:rFonts w:ascii="Arial" w:hAnsi="Arial" w:cs="Arial"/>
                <w:sz w:val="20"/>
                <w:szCs w:val="20"/>
              </w:rPr>
            </w:pPr>
          </w:p>
        </w:tc>
        <w:tc>
          <w:tcPr>
            <w:tcW w:w="4592" w:type="dxa"/>
          </w:tcPr>
          <w:p>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jc w:val="center"/>
              <w:rPr>
                <w:rFonts w:ascii="Arial" w:hAnsi="Arial" w:cs="Arial"/>
                <w:sz w:val="20"/>
                <w:szCs w:val="20"/>
              </w:rPr>
            </w:pPr>
            <w:bookmarkStart w:id="5" w:name="Par564"/>
            <w:bookmarkEnd w:id="5"/>
          </w:p>
          <w:p>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выдаче выписки из похозяйственной книги</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выписку из похозяйственной книги по лицевому счету хозяйства, зарегистрированного по адресу:</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tblPrEx>
          <w:tblCellMar>
            <w:top w:w="102" w:type="dxa"/>
            <w:left w:w="62" w:type="dxa"/>
            <w:bottom w:w="102" w:type="dxa"/>
            <w:right w:w="62" w:type="dxa"/>
          </w:tblCellMar>
        </w:tblPrEx>
        <w:tc>
          <w:tcPr>
            <w:tcW w:w="5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Arial" w:hAnsi="Arial" w:cs="Arial"/>
                <w:sz w:val="20"/>
                <w:szCs w:val="20"/>
              </w:rPr>
            </w:pPr>
          </w:p>
        </w:tc>
        <w:tc>
          <w:tcPr>
            <w:tcW w:w="8516" w:type="dxa"/>
            <w:gridSpan w:val="3"/>
            <w:tcBorders>
              <w:left w:val="single" w:color="auto" w:sz="4" w:space="0"/>
            </w:tcBorders>
          </w:tcPr>
          <w:p>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tblPrEx>
          <w:tblCellMar>
            <w:top w:w="102" w:type="dxa"/>
            <w:left w:w="62" w:type="dxa"/>
            <w:bottom w:w="102" w:type="dxa"/>
            <w:right w:w="62" w:type="dxa"/>
          </w:tblCellMar>
        </w:tblPrEx>
        <w:tc>
          <w:tcPr>
            <w:tcW w:w="554" w:type="dxa"/>
            <w:tcBorders>
              <w:top w:val="single" w:color="auto" w:sz="4" w:space="0"/>
              <w:bottom w:val="single" w:color="auto" w:sz="4" w:space="0"/>
            </w:tcBorders>
          </w:tcPr>
          <w:p>
            <w:pPr>
              <w:autoSpaceDE w:val="0"/>
              <w:autoSpaceDN w:val="0"/>
              <w:adjustRightInd w:val="0"/>
              <w:spacing w:after="0" w:line="240" w:lineRule="auto"/>
              <w:rPr>
                <w:rFonts w:ascii="Arial" w:hAnsi="Arial" w:cs="Arial"/>
                <w:sz w:val="20"/>
                <w:szCs w:val="20"/>
              </w:rPr>
            </w:pPr>
          </w:p>
        </w:tc>
        <w:tc>
          <w:tcPr>
            <w:tcW w:w="8516" w:type="dxa"/>
            <w:gridSpan w:val="3"/>
          </w:tcPr>
          <w:p>
            <w:pPr>
              <w:autoSpaceDE w:val="0"/>
              <w:autoSpaceDN w:val="0"/>
              <w:adjustRightInd w:val="0"/>
              <w:spacing w:after="0" w:line="240" w:lineRule="auto"/>
              <w:rPr>
                <w:rFonts w:ascii="Arial" w:hAnsi="Arial" w:cs="Arial"/>
                <w:sz w:val="20"/>
                <w:szCs w:val="20"/>
              </w:rPr>
            </w:pPr>
          </w:p>
        </w:tc>
      </w:tr>
      <w:tr>
        <w:tblPrEx>
          <w:tblCellMar>
            <w:top w:w="102" w:type="dxa"/>
            <w:left w:w="62" w:type="dxa"/>
            <w:bottom w:w="102" w:type="dxa"/>
            <w:right w:w="62" w:type="dxa"/>
          </w:tblCellMar>
        </w:tblPrEx>
        <w:tc>
          <w:tcPr>
            <w:tcW w:w="5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Arial" w:hAnsi="Arial" w:cs="Arial"/>
                <w:sz w:val="20"/>
                <w:szCs w:val="20"/>
              </w:rPr>
            </w:pPr>
          </w:p>
        </w:tc>
        <w:tc>
          <w:tcPr>
            <w:tcW w:w="8516" w:type="dxa"/>
            <w:gridSpan w:val="3"/>
            <w:tcBorders>
              <w:left w:val="single" w:color="auto" w:sz="4" w:space="0"/>
            </w:tcBorders>
          </w:tcPr>
          <w:p>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tblPrEx>
          <w:tblCellMar>
            <w:top w:w="102" w:type="dxa"/>
            <w:left w:w="62" w:type="dxa"/>
            <w:bottom w:w="102" w:type="dxa"/>
            <w:right w:w="62" w:type="dxa"/>
          </w:tblCellMar>
        </w:tblPrEx>
        <w:tc>
          <w:tcPr>
            <w:tcW w:w="554" w:type="dxa"/>
            <w:tcBorders>
              <w:top w:val="single" w:color="auto" w:sz="4" w:space="0"/>
              <w:bottom w:val="single" w:color="auto" w:sz="4" w:space="0"/>
            </w:tcBorders>
          </w:tcPr>
          <w:p>
            <w:pPr>
              <w:autoSpaceDE w:val="0"/>
              <w:autoSpaceDN w:val="0"/>
              <w:adjustRightInd w:val="0"/>
              <w:spacing w:after="0" w:line="240" w:lineRule="auto"/>
              <w:rPr>
                <w:rFonts w:ascii="Arial" w:hAnsi="Arial" w:cs="Arial"/>
                <w:sz w:val="20"/>
                <w:szCs w:val="20"/>
              </w:rPr>
            </w:pPr>
          </w:p>
        </w:tc>
        <w:tc>
          <w:tcPr>
            <w:tcW w:w="8516" w:type="dxa"/>
            <w:gridSpan w:val="3"/>
          </w:tcPr>
          <w:p>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tblPrEx>
          <w:tblCellMar>
            <w:top w:w="102" w:type="dxa"/>
            <w:left w:w="62" w:type="dxa"/>
            <w:bottom w:w="102" w:type="dxa"/>
            <w:right w:w="62" w:type="dxa"/>
          </w:tblCellMar>
        </w:tblPrEx>
        <w:tc>
          <w:tcPr>
            <w:tcW w:w="5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Arial" w:hAnsi="Arial" w:cs="Arial"/>
                <w:sz w:val="20"/>
                <w:szCs w:val="20"/>
              </w:rPr>
            </w:pPr>
          </w:p>
        </w:tc>
        <w:tc>
          <w:tcPr>
            <w:tcW w:w="8516" w:type="dxa"/>
            <w:gridSpan w:val="3"/>
            <w:tcBorders>
              <w:left w:val="single" w:color="auto" w:sz="4" w:space="0"/>
            </w:tcBorders>
          </w:tcPr>
          <w:p>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tblPrEx>
          <w:tblCellMar>
            <w:top w:w="102" w:type="dxa"/>
            <w:left w:w="62" w:type="dxa"/>
            <w:bottom w:w="102" w:type="dxa"/>
            <w:right w:w="62" w:type="dxa"/>
          </w:tblCellMar>
        </w:tblPrEx>
        <w:tc>
          <w:tcPr>
            <w:tcW w:w="554" w:type="dxa"/>
            <w:tcBorders>
              <w:top w:val="single" w:color="auto" w:sz="4" w:space="0"/>
              <w:bottom w:val="single" w:color="auto" w:sz="4" w:space="0"/>
            </w:tcBorders>
          </w:tcPr>
          <w:p>
            <w:pPr>
              <w:autoSpaceDE w:val="0"/>
              <w:autoSpaceDN w:val="0"/>
              <w:adjustRightInd w:val="0"/>
              <w:spacing w:after="0" w:line="240" w:lineRule="auto"/>
              <w:rPr>
                <w:rFonts w:ascii="Arial" w:hAnsi="Arial" w:cs="Arial"/>
                <w:sz w:val="20"/>
                <w:szCs w:val="20"/>
              </w:rPr>
            </w:pPr>
          </w:p>
        </w:tc>
        <w:tc>
          <w:tcPr>
            <w:tcW w:w="8516" w:type="dxa"/>
            <w:gridSpan w:val="3"/>
          </w:tcPr>
          <w:p>
            <w:pPr>
              <w:autoSpaceDE w:val="0"/>
              <w:autoSpaceDN w:val="0"/>
              <w:adjustRightInd w:val="0"/>
              <w:spacing w:after="0" w:line="240" w:lineRule="auto"/>
              <w:rPr>
                <w:rFonts w:ascii="Arial" w:hAnsi="Arial" w:cs="Arial"/>
                <w:sz w:val="20"/>
                <w:szCs w:val="20"/>
              </w:rPr>
            </w:pPr>
          </w:p>
        </w:tc>
      </w:tr>
      <w:tr>
        <w:tblPrEx>
          <w:tblCellMar>
            <w:top w:w="102" w:type="dxa"/>
            <w:left w:w="62" w:type="dxa"/>
            <w:bottom w:w="102" w:type="dxa"/>
            <w:right w:w="62" w:type="dxa"/>
          </w:tblCellMar>
        </w:tblPrEx>
        <w:tc>
          <w:tcPr>
            <w:tcW w:w="55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rPr>
                <w:rFonts w:ascii="Arial" w:hAnsi="Arial" w:cs="Arial"/>
                <w:sz w:val="20"/>
                <w:szCs w:val="20"/>
              </w:rPr>
            </w:pPr>
          </w:p>
        </w:tc>
        <w:tc>
          <w:tcPr>
            <w:tcW w:w="8516" w:type="dxa"/>
            <w:gridSpan w:val="3"/>
            <w:tcBorders>
              <w:left w:val="single" w:color="auto" w:sz="4" w:space="0"/>
            </w:tcBorders>
          </w:tcPr>
          <w:p>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tblPrEx>
          <w:tblCellMar>
            <w:top w:w="102" w:type="dxa"/>
            <w:left w:w="62" w:type="dxa"/>
            <w:bottom w:w="102" w:type="dxa"/>
            <w:right w:w="62" w:type="dxa"/>
          </w:tblCellMar>
        </w:tblPrEx>
        <w:tc>
          <w:tcPr>
            <w:tcW w:w="554" w:type="dxa"/>
            <w:tcBorders>
              <w:top w:val="single" w:color="auto" w:sz="4" w:space="0"/>
              <w:bottom w:val="single" w:color="auto" w:sz="4" w:space="0"/>
            </w:tcBorders>
          </w:tcPr>
          <w:p>
            <w:pPr>
              <w:autoSpaceDE w:val="0"/>
              <w:autoSpaceDN w:val="0"/>
              <w:adjustRightInd w:val="0"/>
              <w:spacing w:after="0" w:line="240" w:lineRule="auto"/>
              <w:rPr>
                <w:rFonts w:ascii="Arial" w:hAnsi="Arial" w:cs="Arial"/>
                <w:sz w:val="20"/>
                <w:szCs w:val="20"/>
              </w:rPr>
            </w:pPr>
          </w:p>
        </w:tc>
        <w:tc>
          <w:tcPr>
            <w:tcW w:w="8516" w:type="dxa"/>
            <w:gridSpan w:val="3"/>
          </w:tcPr>
          <w:p>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pPr>
              <w:autoSpaceDE w:val="0"/>
              <w:autoSpaceDN w:val="0"/>
              <w:adjustRightInd w:val="0"/>
              <w:spacing w:after="0" w:line="240" w:lineRule="auto"/>
              <w:rPr>
                <w:rFonts w:ascii="Arial" w:hAnsi="Arial" w:cs="Arial"/>
                <w:sz w:val="20"/>
                <w:szCs w:val="20"/>
              </w:rPr>
            </w:pPr>
          </w:p>
        </w:tc>
      </w:tr>
      <w:tr>
        <w:tblPrEx>
          <w:tblCellMar>
            <w:top w:w="102" w:type="dxa"/>
            <w:left w:w="62" w:type="dxa"/>
            <w:bottom w:w="102" w:type="dxa"/>
            <w:right w:w="62" w:type="dxa"/>
          </w:tblCellMar>
        </w:tblPrEx>
        <w:tc>
          <w:tcPr>
            <w:tcW w:w="554" w:type="dxa"/>
            <w:tcBorders>
              <w:top w:val="single" w:color="auto" w:sz="4" w:space="0"/>
              <w:left w:val="single" w:color="auto" w:sz="4" w:space="0"/>
              <w:right w:val="single" w:color="auto" w:sz="4" w:space="0"/>
            </w:tcBorders>
          </w:tcPr>
          <w:p>
            <w:pPr>
              <w:autoSpaceDE w:val="0"/>
              <w:autoSpaceDN w:val="0"/>
              <w:adjustRightInd w:val="0"/>
              <w:spacing w:after="0" w:line="240" w:lineRule="auto"/>
              <w:rPr>
                <w:rFonts w:ascii="Arial" w:hAnsi="Arial" w:cs="Arial"/>
                <w:sz w:val="20"/>
                <w:szCs w:val="20"/>
              </w:rPr>
            </w:pPr>
          </w:p>
        </w:tc>
        <w:tc>
          <w:tcPr>
            <w:tcW w:w="8516" w:type="dxa"/>
            <w:gridSpan w:val="3"/>
            <w:tcBorders>
              <w:left w:val="single" w:color="auto" w:sz="4" w:space="0"/>
            </w:tcBorders>
          </w:tcPr>
          <w:p>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jc w:val="both"/>
              <w:rPr>
                <w:rFonts w:ascii="Arial" w:hAnsi="Arial" w:cs="Arial"/>
                <w:sz w:val="20"/>
                <w:szCs w:val="20"/>
              </w:rPr>
            </w:pPr>
            <w:r>
              <w:fldChar w:fldCharType="begin"/>
            </w:r>
            <w:r>
              <w:instrText xml:space="preserve"> HYPERLINK "consultantplus://offline/ref=57FF2AFF27C58A55EB61BA1BC2FD7DE6DFA2B242035BF304928BF595ED4D13FAACC3FFBFC78C436F29C64C917F3D8C46A2B78F84CFA6E80Ai7e1L" </w:instrText>
            </w:r>
            <w:r>
              <w:fldChar w:fldCharType="separate"/>
            </w:r>
            <w:r>
              <w:rPr>
                <w:rFonts w:ascii="Arial" w:hAnsi="Arial" w:cs="Arial"/>
                <w:color w:val="0000FF"/>
                <w:sz w:val="20"/>
                <w:szCs w:val="20"/>
              </w:rPr>
              <w:t>выписки</w:t>
            </w:r>
            <w:r>
              <w:rPr>
                <w:rFonts w:ascii="Arial" w:hAnsi="Arial" w:cs="Arial"/>
                <w:color w:val="0000FF"/>
                <w:sz w:val="20"/>
                <w:szCs w:val="20"/>
              </w:rPr>
              <w:fldChar w:fldCharType="end"/>
            </w:r>
            <w:r>
              <w:rPr>
                <w:rFonts w:ascii="Arial" w:hAnsi="Arial" w:cs="Arial"/>
                <w:sz w:val="20"/>
                <w:szCs w:val="20"/>
              </w:rPr>
              <w:t xml:space="preserve"> из похозяйственной книги, утвержденной </w:t>
            </w:r>
            <w:r>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Pr>
                <w:rFonts w:ascii="Arial" w:hAnsi="Arial" w:cs="Arial"/>
                <w:sz w:val="20"/>
                <w:szCs w:val="20"/>
              </w:rPr>
              <w:t>.</w:t>
            </w:r>
          </w:p>
          <w:p>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r>
              <w:fldChar w:fldCharType="begin"/>
            </w:r>
            <w:r>
              <w:instrText xml:space="preserve"> HYPERLINK "consultantplus://offline/ref=57FF2AFF27C58A55EB61BA1BC2FD7DE6DDA8B2470350F304928BF595ED4D13FABEC3A7B3C58D5D6E2AD31AC039i6eAL" </w:instrText>
            </w:r>
            <w:r>
              <w:fldChar w:fldCharType="separate"/>
            </w:r>
            <w:r>
              <w:rPr>
                <w:rFonts w:ascii="Arial" w:hAnsi="Arial" w:cs="Arial"/>
                <w:color w:val="0000FF"/>
                <w:sz w:val="20"/>
                <w:szCs w:val="20"/>
              </w:rPr>
              <w:t>законом</w:t>
            </w:r>
            <w:r>
              <w:rPr>
                <w:rFonts w:ascii="Arial" w:hAnsi="Arial" w:cs="Arial"/>
                <w:color w:val="0000FF"/>
                <w:sz w:val="20"/>
                <w:szCs w:val="20"/>
              </w:rPr>
              <w:fldChar w:fldCharType="end"/>
            </w:r>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tblPrEx>
          <w:tblCellMar>
            <w:top w:w="102" w:type="dxa"/>
            <w:left w:w="62" w:type="dxa"/>
            <w:bottom w:w="102" w:type="dxa"/>
            <w:right w:w="62" w:type="dxa"/>
          </w:tblCellMar>
        </w:tblPrEx>
        <w:tc>
          <w:tcPr>
            <w:tcW w:w="4478" w:type="dxa"/>
            <w:gridSpan w:val="3"/>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tblPrEx>
          <w:tblCellMar>
            <w:top w:w="102" w:type="dxa"/>
            <w:left w:w="62" w:type="dxa"/>
            <w:bottom w:w="102" w:type="dxa"/>
            <w:right w:w="62" w:type="dxa"/>
          </w:tblCellMar>
        </w:tblPrEx>
        <w:tc>
          <w:tcPr>
            <w:tcW w:w="3219" w:type="dxa"/>
            <w:gridSpan w:val="2"/>
          </w:tcPr>
          <w:p>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p>
        </w:tc>
      </w:tr>
      <w:tr>
        <w:tblPrEx>
          <w:tblCellMar>
            <w:top w:w="102" w:type="dxa"/>
            <w:left w:w="62" w:type="dxa"/>
            <w:bottom w:w="102" w:type="dxa"/>
            <w:right w:w="62" w:type="dxa"/>
          </w:tblCellMar>
        </w:tblPrEx>
        <w:tc>
          <w:tcPr>
            <w:tcW w:w="4478" w:type="dxa"/>
            <w:gridSpan w:val="3"/>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tblPrEx>
          <w:tblCellMar>
            <w:top w:w="102" w:type="dxa"/>
            <w:left w:w="62" w:type="dxa"/>
            <w:bottom w:w="102" w:type="dxa"/>
            <w:right w:w="62" w:type="dxa"/>
          </w:tblCellMar>
        </w:tblPrEx>
        <w:tc>
          <w:tcPr>
            <w:tcW w:w="3219" w:type="dxa"/>
            <w:gridSpan w:val="2"/>
          </w:tcPr>
          <w:p>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pPr>
              <w:autoSpaceDE w:val="0"/>
              <w:autoSpaceDN w:val="0"/>
              <w:adjustRightInd w:val="0"/>
              <w:spacing w:after="0" w:line="240" w:lineRule="auto"/>
              <w:rPr>
                <w:rFonts w:ascii="Arial" w:hAnsi="Arial" w:cs="Arial"/>
                <w:sz w:val="20"/>
                <w:szCs w:val="20"/>
              </w:rPr>
            </w:pP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 __________________ _____________________________________</w:t>
            </w:r>
          </w:p>
        </w:tc>
      </w:tr>
      <w:tr>
        <w:tblPrEx>
          <w:tblCellMar>
            <w:top w:w="102" w:type="dxa"/>
            <w:left w:w="62" w:type="dxa"/>
            <w:bottom w:w="102" w:type="dxa"/>
            <w:right w:w="62" w:type="dxa"/>
          </w:tblCellMar>
        </w:tblPrEx>
        <w:tc>
          <w:tcPr>
            <w:tcW w:w="3219" w:type="dxa"/>
            <w:gridSpan w:val="2"/>
          </w:tcPr>
          <w:p>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Заявление и документы выдачи выписки из похозяйственной книги</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tblPrEx>
          <w:tblCellMar>
            <w:top w:w="102" w:type="dxa"/>
            <w:left w:w="62" w:type="dxa"/>
            <w:bottom w:w="102" w:type="dxa"/>
            <w:right w:w="62" w:type="dxa"/>
          </w:tblCellMar>
        </w:tblPrEx>
        <w:tc>
          <w:tcPr>
            <w:tcW w:w="9070" w:type="dxa"/>
            <w:gridSpan w:val="4"/>
          </w:tcPr>
          <w:p>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p>
        </w:tc>
      </w:tr>
    </w:tbl>
    <w:p/>
    <w:p>
      <w:pPr>
        <w:autoSpaceDE w:val="0"/>
        <w:autoSpaceDN w:val="0"/>
        <w:adjustRightInd w:val="0"/>
        <w:spacing w:after="0" w:line="240" w:lineRule="auto"/>
        <w:ind w:left="4536"/>
        <w:outlineLvl w:val="0"/>
        <w:rPr>
          <w:rFonts w:ascii="Times New Roman" w:hAnsi="Times New Roman" w:cs="Times New Roman"/>
          <w:sz w:val="24"/>
          <w:szCs w:val="24"/>
        </w:rPr>
      </w:pPr>
      <w:r>
        <w:rPr>
          <w:rFonts w:ascii="Times New Roman" w:hAnsi="Times New Roman" w:cs="Times New Roman"/>
          <w:sz w:val="24"/>
          <w:szCs w:val="24"/>
        </w:rPr>
        <w:t>Приложение № 2</w:t>
      </w:r>
    </w:p>
    <w:p>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предоставления </w:t>
      </w:r>
    </w:p>
    <w:p>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муниципальной услуги: "Выдача</w:t>
      </w:r>
    </w:p>
    <w:p>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выписки из похозяйственной книги"</w:t>
      </w:r>
    </w:p>
    <w:p>
      <w:pPr>
        <w:ind w:firstLine="540"/>
        <w:jc w:val="center"/>
        <w:rPr>
          <w:sz w:val="28"/>
          <w:szCs w:val="28"/>
          <w:lang w:eastAsia="ru-RU"/>
        </w:rPr>
      </w:pPr>
    </w:p>
    <w:p>
      <w:pPr>
        <w:ind w:firstLine="54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Перечень общих признаков заявителей, </w:t>
      </w:r>
    </w:p>
    <w:p>
      <w:pPr>
        <w:ind w:firstLine="540"/>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pPr>
        <w:ind w:firstLine="540"/>
        <w:jc w:val="center"/>
        <w:rPr>
          <w:rFonts w:ascii="Times New Roman" w:hAnsi="Times New Roman" w:cs="Times New Roman"/>
          <w:sz w:val="24"/>
          <w:szCs w:val="24"/>
          <w:lang w:eastAsia="ru-RU"/>
        </w:rPr>
      </w:pPr>
    </w:p>
    <w:p>
      <w:pPr>
        <w:ind w:firstLine="540"/>
        <w:jc w:val="center"/>
        <w:outlineLvl w:val="0"/>
        <w:rPr>
          <w:rFonts w:ascii="Times New Roman" w:hAnsi="Times New Roman" w:cs="Times New Roman"/>
          <w:b/>
          <w:bCs/>
          <w:sz w:val="24"/>
          <w:szCs w:val="24"/>
        </w:rPr>
      </w:pPr>
      <w:r>
        <w:rPr>
          <w:rFonts w:ascii="Times New Roman" w:hAnsi="Times New Roman" w:cs="Times New Roman"/>
          <w:b/>
          <w:bCs/>
          <w:sz w:val="24"/>
          <w:szCs w:val="24"/>
        </w:rPr>
        <w:t>Таблица 1. Перечень общих признаков заявителей</w:t>
      </w:r>
    </w:p>
    <w:p>
      <w:pPr>
        <w:jc w:val="both"/>
        <w:rPr>
          <w:rFonts w:ascii="Times New Roman" w:hAnsi="Times New Roman" w:cs="Times New Roman"/>
          <w:sz w:val="24"/>
          <w:szCs w:val="24"/>
        </w:rPr>
      </w:pPr>
    </w:p>
    <w:tbl>
      <w:tblPr>
        <w:tblStyle w:val="3"/>
        <w:tblW w:w="0" w:type="auto"/>
        <w:tblInd w:w="0" w:type="dxa"/>
        <w:tblLayout w:type="fixed"/>
        <w:tblCellMar>
          <w:top w:w="102" w:type="dxa"/>
          <w:left w:w="62" w:type="dxa"/>
          <w:bottom w:w="102" w:type="dxa"/>
          <w:right w:w="62" w:type="dxa"/>
        </w:tblCellMar>
      </w:tblPr>
      <w:tblGrid>
        <w:gridCol w:w="680"/>
        <w:gridCol w:w="2268"/>
        <w:gridCol w:w="6123"/>
      </w:tblGrid>
      <w:tr>
        <w:tblPrEx>
          <w:tblCellMar>
            <w:top w:w="102" w:type="dxa"/>
            <w:left w:w="62" w:type="dxa"/>
            <w:bottom w:w="102" w:type="dxa"/>
            <w:right w:w="62" w:type="dxa"/>
          </w:tblCellMar>
        </w:tblPrEx>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 п/п</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 xml:space="preserve">Признак заявителя </w:t>
            </w:r>
          </w:p>
        </w:tc>
        <w:tc>
          <w:tcPr>
            <w:tcW w:w="61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 xml:space="preserve">Значения признака заявителя </w:t>
            </w:r>
          </w:p>
        </w:tc>
      </w:tr>
      <w:tr>
        <w:tblPrEx>
          <w:tblCellMar>
            <w:top w:w="102" w:type="dxa"/>
            <w:left w:w="62" w:type="dxa"/>
            <w:bottom w:w="102" w:type="dxa"/>
            <w:right w:w="62" w:type="dxa"/>
          </w:tblCellMar>
        </w:tblPrEx>
        <w:tc>
          <w:tcPr>
            <w:tcW w:w="9071" w:type="dxa"/>
            <w:gridSpan w:val="3"/>
            <w:tcBorders>
              <w:top w:val="single" w:color="auto" w:sz="4" w:space="0"/>
              <w:left w:val="single" w:color="auto" w:sz="4" w:space="0"/>
              <w:bottom w:val="single" w:color="auto" w:sz="4" w:space="0"/>
              <w:right w:val="single" w:color="auto" w:sz="4" w:space="0"/>
            </w:tcBorders>
            <w:vAlign w:val="center"/>
          </w:tcPr>
          <w:p>
            <w:pPr>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pPr>
              <w:outlineLvl w:val="1"/>
              <w:rPr>
                <w:rFonts w:ascii="Times New Roman" w:hAnsi="Times New Roman" w:cs="Times New Roman"/>
                <w:sz w:val="24"/>
                <w:szCs w:val="24"/>
              </w:rPr>
            </w:pPr>
            <w:r>
              <w:rPr>
                <w:rFonts w:ascii="Times New Roman" w:hAnsi="Times New Roman" w:cs="Times New Roman"/>
                <w:sz w:val="24"/>
                <w:szCs w:val="24"/>
              </w:rPr>
              <w:t>Выдача выписки из похозяйственной книги</w:t>
            </w:r>
          </w:p>
        </w:tc>
      </w:tr>
      <w:tr>
        <w:tblPrEx>
          <w:tblCellMar>
            <w:top w:w="102" w:type="dxa"/>
            <w:left w:w="62" w:type="dxa"/>
            <w:bottom w:w="102" w:type="dxa"/>
            <w:right w:w="62" w:type="dxa"/>
          </w:tblCellMar>
        </w:tblPrEx>
        <w:tc>
          <w:tcPr>
            <w:tcW w:w="6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Кто обращается за государственной услугой?</w:t>
            </w:r>
          </w:p>
        </w:tc>
        <w:tc>
          <w:tcPr>
            <w:tcW w:w="6123" w:type="dxa"/>
            <w:tcBorders>
              <w:top w:val="single" w:color="auto" w:sz="4" w:space="0"/>
              <w:left w:val="single" w:color="auto" w:sz="4" w:space="0"/>
              <w:bottom w:val="single" w:color="auto" w:sz="4" w:space="0"/>
              <w:right w:val="single" w:color="auto" w:sz="4" w:space="0"/>
            </w:tcBorders>
          </w:tcPr>
          <w:p>
            <w:pPr>
              <w:pStyle w:val="11"/>
              <w:numPr>
                <w:ilvl w:val="0"/>
                <w:numId w:val="2"/>
              </w:numPr>
              <w:tabs>
                <w:tab w:val="left" w:pos="388"/>
              </w:tabs>
              <w:ind w:left="105" w:firstLine="0"/>
              <w:rPr>
                <w:rFonts w:ascii="Times New Roman" w:hAnsi="Times New Roman" w:cs="Times New Roman"/>
                <w:sz w:val="24"/>
                <w:szCs w:val="24"/>
              </w:rPr>
            </w:pPr>
            <w:r>
              <w:rPr>
                <w:rFonts w:ascii="Times New Roman" w:hAnsi="Times New Roman" w:cs="Times New Roman"/>
                <w:sz w:val="24"/>
                <w:szCs w:val="24"/>
              </w:rPr>
              <w:t xml:space="preserve">Глава личного подсобного </w:t>
            </w:r>
          </w:p>
          <w:p>
            <w:pPr>
              <w:pStyle w:val="11"/>
              <w:numPr>
                <w:ilvl w:val="0"/>
                <w:numId w:val="2"/>
              </w:numPr>
              <w:tabs>
                <w:tab w:val="left" w:pos="388"/>
              </w:tabs>
              <w:ind w:left="105" w:firstLine="0"/>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w:t>
            </w:r>
          </w:p>
          <w:p>
            <w:pPr>
              <w:tabs>
                <w:tab w:val="left" w:pos="388"/>
              </w:tabs>
              <w:ind w:left="105"/>
              <w:rPr>
                <w:rFonts w:ascii="Times New Roman" w:hAnsi="Times New Roman" w:cs="Times New Roman"/>
                <w:sz w:val="24"/>
                <w:szCs w:val="24"/>
              </w:rPr>
            </w:pPr>
          </w:p>
        </w:tc>
      </w:tr>
      <w:tr>
        <w:tblPrEx>
          <w:tblCellMar>
            <w:top w:w="102" w:type="dxa"/>
            <w:left w:w="62" w:type="dxa"/>
            <w:bottom w:w="102" w:type="dxa"/>
            <w:right w:w="62" w:type="dxa"/>
          </w:tblCellMar>
        </w:tblPrEx>
        <w:tc>
          <w:tcPr>
            <w:tcW w:w="6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color="auto" w:sz="4" w:space="0"/>
              <w:left w:val="single" w:color="auto" w:sz="4" w:space="0"/>
              <w:bottom w:val="single" w:color="auto" w:sz="4" w:space="0"/>
              <w:right w:val="single" w:color="auto" w:sz="4" w:space="0"/>
            </w:tcBorders>
          </w:tcPr>
          <w:p>
            <w:pPr>
              <w:tabs>
                <w:tab w:val="left" w:pos="388"/>
              </w:tabs>
              <w:ind w:left="105"/>
              <w:rPr>
                <w:rFonts w:ascii="Times New Roman" w:hAnsi="Times New Roman" w:cs="Times New Roman"/>
                <w:sz w:val="24"/>
                <w:szCs w:val="24"/>
              </w:rPr>
            </w:pPr>
            <w:r>
              <w:rPr>
                <w:rFonts w:ascii="Times New Roman" w:hAnsi="Times New Roman" w:cs="Times New Roman"/>
                <w:sz w:val="24"/>
                <w:szCs w:val="24"/>
              </w:rPr>
              <w:t>1. Лично</w:t>
            </w:r>
          </w:p>
          <w:p>
            <w:pPr>
              <w:tabs>
                <w:tab w:val="left" w:pos="388"/>
              </w:tabs>
              <w:ind w:left="105"/>
              <w:rPr>
                <w:rFonts w:ascii="Times New Roman" w:hAnsi="Times New Roman" w:cs="Times New Roman"/>
                <w:sz w:val="24"/>
                <w:szCs w:val="24"/>
              </w:rPr>
            </w:pPr>
            <w:r>
              <w:rPr>
                <w:rFonts w:ascii="Times New Roman" w:hAnsi="Times New Roman" w:cs="Times New Roman"/>
                <w:sz w:val="24"/>
                <w:szCs w:val="24"/>
              </w:rPr>
              <w:t>2. Через уполномоченного представителя</w:t>
            </w:r>
          </w:p>
        </w:tc>
      </w:tr>
      <w:tr>
        <w:tblPrEx>
          <w:tblCellMar>
            <w:top w:w="102" w:type="dxa"/>
            <w:left w:w="62" w:type="dxa"/>
            <w:bottom w:w="102" w:type="dxa"/>
            <w:right w:w="62" w:type="dxa"/>
          </w:tblCellMar>
        </w:tblPrEx>
        <w:tc>
          <w:tcPr>
            <w:tcW w:w="9071" w:type="dxa"/>
            <w:gridSpan w:val="3"/>
            <w:tcBorders>
              <w:top w:val="single" w:color="auto" w:sz="4" w:space="0"/>
              <w:left w:val="single" w:color="auto" w:sz="4" w:space="0"/>
              <w:bottom w:val="single" w:color="auto" w:sz="4" w:space="0"/>
              <w:right w:val="single" w:color="auto" w:sz="4" w:space="0"/>
            </w:tcBorders>
            <w:vAlign w:val="center"/>
          </w:tcPr>
          <w:p>
            <w:pPr>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pPr>
              <w:outlineLvl w:val="1"/>
              <w:rPr>
                <w:rFonts w:ascii="Times New Roman" w:hAnsi="Times New Roman" w:cs="Times New Roman"/>
                <w:sz w:val="24"/>
                <w:szCs w:val="24"/>
              </w:rPr>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tblPrEx>
          <w:tblCellMar>
            <w:top w:w="102" w:type="dxa"/>
            <w:left w:w="62" w:type="dxa"/>
            <w:bottom w:w="102" w:type="dxa"/>
            <w:right w:w="62" w:type="dxa"/>
          </w:tblCellMar>
        </w:tblPrEx>
        <w:tc>
          <w:tcPr>
            <w:tcW w:w="6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Кто обращается за предоставлением услуги?</w:t>
            </w:r>
          </w:p>
        </w:tc>
        <w:tc>
          <w:tcPr>
            <w:tcW w:w="6123" w:type="dxa"/>
            <w:tcBorders>
              <w:top w:val="single" w:color="auto" w:sz="4" w:space="0"/>
              <w:left w:val="single" w:color="auto" w:sz="4" w:space="0"/>
              <w:bottom w:val="single" w:color="auto" w:sz="4" w:space="0"/>
              <w:right w:val="single" w:color="auto" w:sz="4" w:space="0"/>
            </w:tcBorders>
          </w:tcPr>
          <w:p>
            <w:pPr>
              <w:pStyle w:val="11"/>
              <w:numPr>
                <w:ilvl w:val="0"/>
                <w:numId w:val="3"/>
              </w:numPr>
              <w:tabs>
                <w:tab w:val="left" w:pos="530"/>
              </w:tabs>
              <w:ind w:left="247" w:firstLine="0"/>
              <w:rPr>
                <w:rFonts w:ascii="Times New Roman" w:hAnsi="Times New Roman" w:cs="Times New Roman"/>
                <w:sz w:val="24"/>
                <w:szCs w:val="24"/>
              </w:rPr>
            </w:pPr>
            <w:r>
              <w:rPr>
                <w:rFonts w:ascii="Times New Roman" w:hAnsi="Times New Roman" w:cs="Times New Roman"/>
                <w:sz w:val="24"/>
                <w:szCs w:val="24"/>
              </w:rPr>
              <w:t xml:space="preserve">Глава личного подсобного </w:t>
            </w:r>
          </w:p>
          <w:p>
            <w:pPr>
              <w:pStyle w:val="11"/>
              <w:numPr>
                <w:ilvl w:val="0"/>
                <w:numId w:val="3"/>
              </w:numPr>
              <w:tabs>
                <w:tab w:val="left" w:pos="530"/>
              </w:tabs>
              <w:ind w:left="247" w:firstLine="0"/>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w:t>
            </w:r>
          </w:p>
          <w:p>
            <w:pPr>
              <w:tabs>
                <w:tab w:val="left" w:pos="530"/>
              </w:tabs>
              <w:ind w:left="247"/>
              <w:rPr>
                <w:rFonts w:ascii="Times New Roman" w:hAnsi="Times New Roman" w:cs="Times New Roman"/>
                <w:sz w:val="24"/>
                <w:szCs w:val="24"/>
              </w:rPr>
            </w:pPr>
          </w:p>
        </w:tc>
      </w:tr>
      <w:tr>
        <w:tblPrEx>
          <w:tblCellMar>
            <w:top w:w="102" w:type="dxa"/>
            <w:left w:w="62" w:type="dxa"/>
            <w:bottom w:w="102" w:type="dxa"/>
            <w:right w:w="62" w:type="dxa"/>
          </w:tblCellMar>
        </w:tblPrEx>
        <w:tc>
          <w:tcPr>
            <w:tcW w:w="6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color="auto" w:sz="4" w:space="0"/>
              <w:left w:val="single" w:color="auto" w:sz="4" w:space="0"/>
              <w:bottom w:val="single" w:color="auto" w:sz="4" w:space="0"/>
              <w:right w:val="single" w:color="auto" w:sz="4" w:space="0"/>
            </w:tcBorders>
          </w:tcPr>
          <w:p>
            <w:pPr>
              <w:tabs>
                <w:tab w:val="left" w:pos="530"/>
              </w:tabs>
              <w:ind w:left="247"/>
              <w:rPr>
                <w:rFonts w:ascii="Times New Roman" w:hAnsi="Times New Roman" w:cs="Times New Roman"/>
                <w:sz w:val="24"/>
                <w:szCs w:val="24"/>
              </w:rPr>
            </w:pPr>
            <w:r>
              <w:rPr>
                <w:rFonts w:ascii="Times New Roman" w:hAnsi="Times New Roman" w:cs="Times New Roman"/>
                <w:sz w:val="24"/>
                <w:szCs w:val="24"/>
              </w:rPr>
              <w:t>1. Лично</w:t>
            </w:r>
          </w:p>
          <w:p>
            <w:pPr>
              <w:tabs>
                <w:tab w:val="left" w:pos="530"/>
              </w:tabs>
              <w:ind w:left="247"/>
              <w:rPr>
                <w:rFonts w:ascii="Times New Roman" w:hAnsi="Times New Roman" w:cs="Times New Roman"/>
                <w:sz w:val="24"/>
                <w:szCs w:val="24"/>
              </w:rPr>
            </w:pPr>
            <w:r>
              <w:rPr>
                <w:rFonts w:ascii="Times New Roman" w:hAnsi="Times New Roman" w:cs="Times New Roman"/>
                <w:sz w:val="24"/>
                <w:szCs w:val="24"/>
              </w:rPr>
              <w:t>2. Через уполномоченного представителя</w:t>
            </w:r>
          </w:p>
        </w:tc>
      </w:tr>
    </w:tbl>
    <w:p>
      <w:pPr>
        <w:jc w:val="both"/>
        <w:rPr>
          <w:rFonts w:ascii="Times New Roman" w:hAnsi="Times New Roman" w:cs="Times New Roman"/>
          <w:sz w:val="24"/>
          <w:szCs w:val="24"/>
        </w:rPr>
      </w:pPr>
    </w:p>
    <w:p>
      <w:pPr>
        <w:ind w:firstLine="540"/>
        <w:jc w:val="both"/>
        <w:outlineLvl w:val="0"/>
        <w:rPr>
          <w:rFonts w:ascii="Times New Roman" w:hAnsi="Times New Roman" w:cs="Times New Roman"/>
          <w:b/>
          <w:bCs/>
          <w:sz w:val="24"/>
          <w:szCs w:val="24"/>
        </w:rPr>
      </w:pPr>
    </w:p>
    <w:p>
      <w:pPr>
        <w:ind w:firstLine="540"/>
        <w:jc w:val="both"/>
        <w:outlineLvl w:val="0"/>
        <w:rPr>
          <w:rFonts w:ascii="Times New Roman" w:hAnsi="Times New Roman" w:cs="Times New Roman"/>
          <w:b/>
          <w:bCs/>
          <w:sz w:val="24"/>
          <w:szCs w:val="24"/>
        </w:rPr>
      </w:pPr>
    </w:p>
    <w:p>
      <w:pPr>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Таблица 2. Комбинации признаков заявителей, каждая из которых</w:t>
      </w:r>
    </w:p>
    <w:p>
      <w:pPr>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 соответствует одному варианту предоставления услуги</w:t>
      </w:r>
    </w:p>
    <w:p>
      <w:pPr>
        <w:jc w:val="both"/>
        <w:rPr>
          <w:rFonts w:ascii="Times New Roman" w:hAnsi="Times New Roman" w:cs="Times New Roman"/>
          <w:sz w:val="24"/>
          <w:szCs w:val="24"/>
        </w:rPr>
      </w:pPr>
    </w:p>
    <w:tbl>
      <w:tblPr>
        <w:tblStyle w:val="3"/>
        <w:tblW w:w="0" w:type="auto"/>
        <w:tblInd w:w="0" w:type="dxa"/>
        <w:tblLayout w:type="fixed"/>
        <w:tblCellMar>
          <w:top w:w="102" w:type="dxa"/>
          <w:left w:w="62" w:type="dxa"/>
          <w:bottom w:w="102" w:type="dxa"/>
          <w:right w:w="62" w:type="dxa"/>
        </w:tblCellMar>
      </w:tblPr>
      <w:tblGrid>
        <w:gridCol w:w="1055"/>
        <w:gridCol w:w="8016"/>
      </w:tblGrid>
      <w:tr>
        <w:tblPrEx>
          <w:tblCellMar>
            <w:top w:w="102" w:type="dxa"/>
            <w:left w:w="62" w:type="dxa"/>
            <w:bottom w:w="102" w:type="dxa"/>
            <w:right w:w="62" w:type="dxa"/>
          </w:tblCellMar>
        </w:tblPrEx>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 варианта</w:t>
            </w:r>
          </w:p>
        </w:tc>
        <w:tc>
          <w:tcPr>
            <w:tcW w:w="80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Комбинация признаков заявителей</w:t>
            </w:r>
          </w:p>
        </w:tc>
      </w:tr>
      <w:tr>
        <w:tblPrEx>
          <w:tblCellMar>
            <w:top w:w="102" w:type="dxa"/>
            <w:left w:w="62" w:type="dxa"/>
            <w:bottom w:w="102" w:type="dxa"/>
            <w:right w:w="62" w:type="dxa"/>
          </w:tblCellMar>
        </w:tblPrEx>
        <w:tc>
          <w:tcPr>
            <w:tcW w:w="9071" w:type="dxa"/>
            <w:gridSpan w:val="2"/>
            <w:tcBorders>
              <w:top w:val="single" w:color="auto" w:sz="4" w:space="0"/>
              <w:left w:val="single" w:color="auto" w:sz="4" w:space="0"/>
              <w:bottom w:val="single" w:color="auto" w:sz="4" w:space="0"/>
              <w:right w:val="single" w:color="auto" w:sz="4" w:space="0"/>
            </w:tcBorders>
            <w:vAlign w:val="center"/>
          </w:tcPr>
          <w:p>
            <w:pPr>
              <w:jc w:val="both"/>
              <w:outlineLvl w:val="1"/>
              <w:rPr>
                <w:rFonts w:ascii="Times New Roman" w:hAnsi="Times New Roman" w:cs="Times New Roman"/>
                <w:sz w:val="24"/>
                <w:szCs w:val="24"/>
              </w:rPr>
            </w:pPr>
            <w:r>
              <w:rPr>
                <w:rFonts w:ascii="Times New Roman" w:hAnsi="Times New Roman" w:cs="Times New Roman"/>
                <w:sz w:val="24"/>
                <w:szCs w:val="24"/>
              </w:rPr>
              <w:t>Результат</w:t>
            </w:r>
          </w:p>
          <w:p>
            <w:pPr>
              <w:jc w:val="both"/>
              <w:outlineLvl w:val="1"/>
              <w:rPr>
                <w:rFonts w:ascii="Times New Roman" w:hAnsi="Times New Roman" w:cs="Times New Roman"/>
                <w:sz w:val="24"/>
                <w:szCs w:val="24"/>
              </w:rPr>
            </w:pPr>
            <w:r>
              <w:rPr>
                <w:rFonts w:ascii="Times New Roman" w:hAnsi="Times New Roman" w:cs="Times New Roman"/>
                <w:sz w:val="24"/>
                <w:szCs w:val="24"/>
              </w:rPr>
              <w:t xml:space="preserve"> Выдача выписки из похозяйственной книги </w:t>
            </w:r>
          </w:p>
        </w:tc>
      </w:tr>
      <w:tr>
        <w:tblPrEx>
          <w:tblCellMar>
            <w:top w:w="102" w:type="dxa"/>
            <w:left w:w="62" w:type="dxa"/>
            <w:bottom w:w="102" w:type="dxa"/>
            <w:right w:w="62" w:type="dxa"/>
          </w:tblCellMar>
        </w:tblPrEx>
        <w:tc>
          <w:tcPr>
            <w:tcW w:w="105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fldChar w:fldCharType="begin"/>
            </w:r>
            <w:r>
              <w:instrText xml:space="preserve"> HYPERLINK "consultantplus://offline/ref=5EE297BE558C206F1204F379ABD91DFC4B246B16911D45A153FCE6C6A083709C0265EB7FE620843A011DF116A49D31D49215607D58175DD5xDZDJ" \o "consultantplus://offline/ref=5EE297BE558C206F1204F379ABD91DFC4B246B16911D45A153FCE6C6A083709C0265EB7FE620843A011DF116A49D31D49215607D58175DD5xDZDJ" </w:instrText>
            </w:r>
            <w: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w:t>
            </w:r>
          </w:p>
        </w:tc>
        <w:tc>
          <w:tcPr>
            <w:tcW w:w="8016" w:type="dxa"/>
            <w:tcBorders>
              <w:top w:val="single" w:color="auto" w:sz="4" w:space="0"/>
              <w:left w:val="single" w:color="auto" w:sz="4" w:space="0"/>
              <w:bottom w:val="single" w:color="auto" w:sz="4" w:space="0"/>
              <w:right w:val="single" w:color="auto" w:sz="4" w:space="0"/>
            </w:tcBorders>
          </w:tcPr>
          <w:p>
            <w:pPr>
              <w:pStyle w:val="11"/>
              <w:ind w:left="152"/>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лично</w:t>
            </w:r>
          </w:p>
        </w:tc>
      </w:tr>
      <w:tr>
        <w:tblPrEx>
          <w:tblCellMar>
            <w:top w:w="102" w:type="dxa"/>
            <w:left w:w="62" w:type="dxa"/>
            <w:bottom w:w="102" w:type="dxa"/>
            <w:right w:w="62" w:type="dxa"/>
          </w:tblCellMar>
        </w:tblPrEx>
        <w:tc>
          <w:tcPr>
            <w:tcW w:w="105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2.</w:t>
            </w:r>
          </w:p>
        </w:tc>
        <w:tc>
          <w:tcPr>
            <w:tcW w:w="8016" w:type="dxa"/>
            <w:tcBorders>
              <w:top w:val="single" w:color="auto" w:sz="4" w:space="0"/>
              <w:left w:val="single" w:color="auto" w:sz="4" w:space="0"/>
              <w:bottom w:val="single" w:color="auto" w:sz="4" w:space="0"/>
              <w:right w:val="single" w:color="auto" w:sz="4" w:space="0"/>
            </w:tcBorders>
          </w:tcPr>
          <w:p>
            <w:pPr>
              <w:pStyle w:val="11"/>
              <w:ind w:left="152"/>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 обратился лично</w:t>
            </w:r>
          </w:p>
        </w:tc>
      </w:tr>
      <w:tr>
        <w:tblPrEx>
          <w:tblCellMar>
            <w:top w:w="102" w:type="dxa"/>
            <w:left w:w="62" w:type="dxa"/>
            <w:bottom w:w="102" w:type="dxa"/>
            <w:right w:w="62" w:type="dxa"/>
          </w:tblCellMar>
        </w:tblPrEx>
        <w:tc>
          <w:tcPr>
            <w:tcW w:w="105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3.</w:t>
            </w:r>
          </w:p>
        </w:tc>
        <w:tc>
          <w:tcPr>
            <w:tcW w:w="8016" w:type="dxa"/>
            <w:tcBorders>
              <w:top w:val="single" w:color="auto" w:sz="4" w:space="0"/>
              <w:left w:val="single" w:color="auto" w:sz="4" w:space="0"/>
              <w:bottom w:val="single" w:color="auto" w:sz="4" w:space="0"/>
              <w:right w:val="single" w:color="auto" w:sz="4" w:space="0"/>
            </w:tcBorders>
          </w:tcPr>
          <w:p>
            <w:pPr>
              <w:pStyle w:val="11"/>
              <w:ind w:left="152"/>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через представителя</w:t>
            </w:r>
          </w:p>
        </w:tc>
      </w:tr>
      <w:tr>
        <w:tblPrEx>
          <w:tblCellMar>
            <w:top w:w="102" w:type="dxa"/>
            <w:left w:w="62" w:type="dxa"/>
            <w:bottom w:w="102" w:type="dxa"/>
            <w:right w:w="62" w:type="dxa"/>
          </w:tblCellMar>
        </w:tblPrEx>
        <w:tc>
          <w:tcPr>
            <w:tcW w:w="105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4.</w:t>
            </w:r>
          </w:p>
        </w:tc>
        <w:tc>
          <w:tcPr>
            <w:tcW w:w="8016" w:type="dxa"/>
            <w:tcBorders>
              <w:top w:val="single" w:color="auto" w:sz="4" w:space="0"/>
              <w:left w:val="single" w:color="auto" w:sz="4" w:space="0"/>
              <w:bottom w:val="single" w:color="auto" w:sz="4" w:space="0"/>
              <w:right w:val="single" w:color="auto" w:sz="4" w:space="0"/>
            </w:tcBorders>
          </w:tcPr>
          <w:p>
            <w:pPr>
              <w:ind w:left="152"/>
              <w:rPr>
                <w:rFonts w:ascii="Times New Roman" w:hAnsi="Times New Roman" w:cs="Times New Roman"/>
                <w:sz w:val="24"/>
                <w:szCs w:val="24"/>
              </w:rPr>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r>
        <w:tblPrEx>
          <w:tblCellMar>
            <w:top w:w="102" w:type="dxa"/>
            <w:left w:w="62" w:type="dxa"/>
            <w:bottom w:w="102" w:type="dxa"/>
            <w:right w:w="62" w:type="dxa"/>
          </w:tblCellMar>
        </w:tblPrEx>
        <w:tc>
          <w:tcPr>
            <w:tcW w:w="907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 xml:space="preserve">Результат </w:t>
            </w:r>
          </w:p>
          <w:p>
            <w:pPr>
              <w:rPr>
                <w:rFonts w:ascii="Times New Roman" w:hAnsi="Times New Roman" w:cs="Times New Roman"/>
                <w:sz w:val="24"/>
                <w:szCs w:val="24"/>
              </w:rPr>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tblPrEx>
          <w:tblCellMar>
            <w:top w:w="102" w:type="dxa"/>
            <w:left w:w="62" w:type="dxa"/>
            <w:bottom w:w="102" w:type="dxa"/>
            <w:right w:w="62" w:type="dxa"/>
          </w:tblCellMar>
        </w:tblPrEx>
        <w:tc>
          <w:tcPr>
            <w:tcW w:w="105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fldChar w:fldCharType="begin"/>
            </w:r>
            <w:r>
              <w:instrText xml:space="preserve"> HYPERLINK "consultantplus://offline/ref=5EE297BE558C206F1204F379ABD91DFC4B246B16911D45A153FCE6C6A083709C0265EB7FE620843A011DF116A49D31D49215607D58175DD5xDZDJ" \o "consultantplus://offline/ref=5EE297BE558C206F1204F379ABD91DFC4B246B16911D45A153FCE6C6A083709C0265EB7FE620843A011DF116A49D31D49215607D58175DD5xDZDJ" </w:instrText>
            </w:r>
            <w: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w:t>
            </w:r>
          </w:p>
        </w:tc>
        <w:tc>
          <w:tcPr>
            <w:tcW w:w="801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лично</w:t>
            </w:r>
          </w:p>
        </w:tc>
      </w:tr>
      <w:tr>
        <w:tblPrEx>
          <w:tblCellMar>
            <w:top w:w="102" w:type="dxa"/>
            <w:left w:w="62" w:type="dxa"/>
            <w:bottom w:w="102" w:type="dxa"/>
            <w:right w:w="62" w:type="dxa"/>
          </w:tblCellMar>
        </w:tblPrEx>
        <w:tc>
          <w:tcPr>
            <w:tcW w:w="105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2.</w:t>
            </w:r>
          </w:p>
        </w:tc>
        <w:tc>
          <w:tcPr>
            <w:tcW w:w="801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 обратился лично</w:t>
            </w:r>
          </w:p>
        </w:tc>
      </w:tr>
      <w:tr>
        <w:tblPrEx>
          <w:tblCellMar>
            <w:top w:w="102" w:type="dxa"/>
            <w:left w:w="62" w:type="dxa"/>
            <w:bottom w:w="102" w:type="dxa"/>
            <w:right w:w="62" w:type="dxa"/>
          </w:tblCellMar>
        </w:tblPrEx>
        <w:tc>
          <w:tcPr>
            <w:tcW w:w="105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3.</w:t>
            </w:r>
          </w:p>
        </w:tc>
        <w:tc>
          <w:tcPr>
            <w:tcW w:w="801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через представителя</w:t>
            </w:r>
          </w:p>
        </w:tc>
      </w:tr>
      <w:tr>
        <w:tblPrEx>
          <w:tblCellMar>
            <w:top w:w="102" w:type="dxa"/>
            <w:left w:w="62" w:type="dxa"/>
            <w:bottom w:w="102" w:type="dxa"/>
            <w:right w:w="62" w:type="dxa"/>
          </w:tblCellMar>
        </w:tblPrEx>
        <w:tc>
          <w:tcPr>
            <w:tcW w:w="105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4"/>
                <w:szCs w:val="24"/>
              </w:rPr>
            </w:pPr>
            <w:r>
              <w:rPr>
                <w:rFonts w:ascii="Times New Roman" w:hAnsi="Times New Roman" w:cs="Times New Roman"/>
                <w:sz w:val="24"/>
                <w:szCs w:val="24"/>
              </w:rPr>
              <w:t>4.</w:t>
            </w:r>
          </w:p>
        </w:tc>
        <w:tc>
          <w:tcPr>
            <w:tcW w:w="801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sz w:val="24"/>
                <w:szCs w:val="24"/>
              </w:rPr>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bl>
    <w:p>
      <w:pPr>
        <w:ind w:firstLine="540"/>
        <w:jc w:val="both"/>
        <w:rPr>
          <w:sz w:val="26"/>
          <w:szCs w:val="26"/>
          <w:lang w:eastAsia="ru-RU"/>
        </w:rPr>
      </w:pPr>
    </w:p>
    <w:p/>
    <w:sectPr>
      <w:pgSz w:w="11906" w:h="16838"/>
      <w:pgMar w:top="709" w:right="850" w:bottom="709"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57AD9"/>
    <w:multiLevelType w:val="multilevel"/>
    <w:tmpl w:val="04457AD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1E10E91"/>
    <w:multiLevelType w:val="multilevel"/>
    <w:tmpl w:val="41E10E9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FB929D0"/>
    <w:multiLevelType w:val="multilevel"/>
    <w:tmpl w:val="4FB929D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6E"/>
    <w:rsid w:val="00014735"/>
    <w:rsid w:val="00022E9D"/>
    <w:rsid w:val="00024EBA"/>
    <w:rsid w:val="0003012E"/>
    <w:rsid w:val="000426EE"/>
    <w:rsid w:val="00053D47"/>
    <w:rsid w:val="00060866"/>
    <w:rsid w:val="00060F8C"/>
    <w:rsid w:val="000761B1"/>
    <w:rsid w:val="000B0C5F"/>
    <w:rsid w:val="000B1BCF"/>
    <w:rsid w:val="000D44CF"/>
    <w:rsid w:val="0010607C"/>
    <w:rsid w:val="0011014A"/>
    <w:rsid w:val="00132CA2"/>
    <w:rsid w:val="0014356E"/>
    <w:rsid w:val="0019585D"/>
    <w:rsid w:val="001B5337"/>
    <w:rsid w:val="001C1E18"/>
    <w:rsid w:val="001E4658"/>
    <w:rsid w:val="00237249"/>
    <w:rsid w:val="002B3FEF"/>
    <w:rsid w:val="002B6064"/>
    <w:rsid w:val="002B620B"/>
    <w:rsid w:val="002C5690"/>
    <w:rsid w:val="002E61B1"/>
    <w:rsid w:val="00314B45"/>
    <w:rsid w:val="00317149"/>
    <w:rsid w:val="00317360"/>
    <w:rsid w:val="003437C1"/>
    <w:rsid w:val="003A3617"/>
    <w:rsid w:val="003E0865"/>
    <w:rsid w:val="003F3D98"/>
    <w:rsid w:val="00403370"/>
    <w:rsid w:val="00430ED5"/>
    <w:rsid w:val="00442BD0"/>
    <w:rsid w:val="00447272"/>
    <w:rsid w:val="00463872"/>
    <w:rsid w:val="004800AE"/>
    <w:rsid w:val="00497FA2"/>
    <w:rsid w:val="00507286"/>
    <w:rsid w:val="0054293B"/>
    <w:rsid w:val="005434BB"/>
    <w:rsid w:val="00572800"/>
    <w:rsid w:val="00580A44"/>
    <w:rsid w:val="005B59E2"/>
    <w:rsid w:val="005E3B69"/>
    <w:rsid w:val="005F1C36"/>
    <w:rsid w:val="005F575C"/>
    <w:rsid w:val="006216EB"/>
    <w:rsid w:val="00637661"/>
    <w:rsid w:val="00663DC2"/>
    <w:rsid w:val="006825CC"/>
    <w:rsid w:val="006A60D8"/>
    <w:rsid w:val="007057E1"/>
    <w:rsid w:val="00716615"/>
    <w:rsid w:val="007325C7"/>
    <w:rsid w:val="00741946"/>
    <w:rsid w:val="00750AB6"/>
    <w:rsid w:val="00793C54"/>
    <w:rsid w:val="007A40D7"/>
    <w:rsid w:val="007A6161"/>
    <w:rsid w:val="007C05F9"/>
    <w:rsid w:val="007E6A53"/>
    <w:rsid w:val="00805679"/>
    <w:rsid w:val="00807F7E"/>
    <w:rsid w:val="00817D8D"/>
    <w:rsid w:val="008272E6"/>
    <w:rsid w:val="008349A8"/>
    <w:rsid w:val="008866E1"/>
    <w:rsid w:val="008926D7"/>
    <w:rsid w:val="00895799"/>
    <w:rsid w:val="008C7424"/>
    <w:rsid w:val="008C7F30"/>
    <w:rsid w:val="008F78F2"/>
    <w:rsid w:val="00904AB0"/>
    <w:rsid w:val="009174B0"/>
    <w:rsid w:val="009414C6"/>
    <w:rsid w:val="009A19CE"/>
    <w:rsid w:val="009B4D53"/>
    <w:rsid w:val="009E20E4"/>
    <w:rsid w:val="009F0491"/>
    <w:rsid w:val="00A02B22"/>
    <w:rsid w:val="00A44554"/>
    <w:rsid w:val="00A5398E"/>
    <w:rsid w:val="00A64751"/>
    <w:rsid w:val="00A74B36"/>
    <w:rsid w:val="00AA703B"/>
    <w:rsid w:val="00AA7AEA"/>
    <w:rsid w:val="00AB16E4"/>
    <w:rsid w:val="00AF01D6"/>
    <w:rsid w:val="00B11707"/>
    <w:rsid w:val="00B2383C"/>
    <w:rsid w:val="00B255EC"/>
    <w:rsid w:val="00B34483"/>
    <w:rsid w:val="00B52C73"/>
    <w:rsid w:val="00B814EA"/>
    <w:rsid w:val="00B82AB2"/>
    <w:rsid w:val="00B871C7"/>
    <w:rsid w:val="00BE3B76"/>
    <w:rsid w:val="00BF6772"/>
    <w:rsid w:val="00C53852"/>
    <w:rsid w:val="00C61E7F"/>
    <w:rsid w:val="00C8092E"/>
    <w:rsid w:val="00CA5F34"/>
    <w:rsid w:val="00CD2F83"/>
    <w:rsid w:val="00CF0361"/>
    <w:rsid w:val="00CF0C94"/>
    <w:rsid w:val="00D0138B"/>
    <w:rsid w:val="00D601AC"/>
    <w:rsid w:val="00D630C6"/>
    <w:rsid w:val="00DA1B9C"/>
    <w:rsid w:val="00DB4E93"/>
    <w:rsid w:val="00DC1373"/>
    <w:rsid w:val="00DF761E"/>
    <w:rsid w:val="00E1552B"/>
    <w:rsid w:val="00E26FB3"/>
    <w:rsid w:val="00E819AB"/>
    <w:rsid w:val="00E863B4"/>
    <w:rsid w:val="00EF0BC3"/>
    <w:rsid w:val="00F30123"/>
    <w:rsid w:val="00F47AF3"/>
    <w:rsid w:val="00F55758"/>
    <w:rsid w:val="00F65B76"/>
    <w:rsid w:val="00F668F0"/>
    <w:rsid w:val="00F82EC5"/>
    <w:rsid w:val="00F842EF"/>
    <w:rsid w:val="00F851F0"/>
    <w:rsid w:val="00F908BE"/>
    <w:rsid w:val="00FB23F6"/>
    <w:rsid w:val="00FB44D1"/>
    <w:rsid w:val="00FD4BF0"/>
    <w:rsid w:val="00FF0ABA"/>
    <w:rsid w:val="09D54CA4"/>
    <w:rsid w:val="0FB20ADB"/>
    <w:rsid w:val="124568EC"/>
    <w:rsid w:val="150D0084"/>
    <w:rsid w:val="17685308"/>
    <w:rsid w:val="36067929"/>
    <w:rsid w:val="3D2F6E45"/>
    <w:rsid w:val="4F640EB7"/>
    <w:rsid w:val="621F55E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Emphasis"/>
    <w:basedOn w:val="2"/>
    <w:autoRedefine/>
    <w:qFormat/>
    <w:uiPriority w:val="20"/>
    <w:rPr>
      <w:i/>
      <w:iCs/>
    </w:rPr>
  </w:style>
  <w:style w:type="character" w:styleId="5">
    <w:name w:val="Hyperlink"/>
    <w:basedOn w:val="2"/>
    <w:autoRedefine/>
    <w:semiHidden/>
    <w:unhideWhenUsed/>
    <w:qFormat/>
    <w:uiPriority w:val="99"/>
    <w:rPr>
      <w:color w:val="0000FF"/>
      <w:u w:val="single"/>
    </w:rPr>
  </w:style>
  <w:style w:type="paragraph" w:styleId="6">
    <w:name w:val="Balloon Text"/>
    <w:basedOn w:val="1"/>
    <w:link w:val="9"/>
    <w:autoRedefine/>
    <w:semiHidden/>
    <w:unhideWhenUsed/>
    <w:qFormat/>
    <w:uiPriority w:val="99"/>
    <w:pPr>
      <w:spacing w:after="0" w:line="240" w:lineRule="auto"/>
    </w:pPr>
    <w:rPr>
      <w:rFonts w:ascii="Segoe UI" w:hAnsi="Segoe UI" w:cs="Segoe UI"/>
      <w:sz w:val="18"/>
      <w:szCs w:val="18"/>
    </w:rPr>
  </w:style>
  <w:style w:type="paragraph" w:styleId="7">
    <w:name w:val="Body Text"/>
    <w:basedOn w:val="1"/>
    <w:link w:val="12"/>
    <w:autoRedefine/>
    <w:qFormat/>
    <w:uiPriority w:val="99"/>
    <w:pPr>
      <w:widowControl w:val="0"/>
      <w:autoSpaceDE w:val="0"/>
      <w:autoSpaceDN w:val="0"/>
      <w:spacing w:after="0" w:line="240" w:lineRule="auto"/>
      <w:ind w:left="222" w:firstLine="707"/>
      <w:jc w:val="both"/>
    </w:pPr>
    <w:rPr>
      <w:rFonts w:ascii="Times New Roman" w:hAnsi="Times New Roman" w:eastAsia="Times New Roman" w:cs="Times New Roman"/>
      <w:sz w:val="28"/>
      <w:szCs w:val="28"/>
    </w:rPr>
  </w:style>
  <w:style w:type="paragraph" w:customStyle="1" w:styleId="8">
    <w:name w:val="ConsPlusNormal"/>
    <w:autoRedefine/>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9">
    <w:name w:val="Текст выноски Знак"/>
    <w:basedOn w:val="2"/>
    <w:link w:val="6"/>
    <w:autoRedefine/>
    <w:semiHidden/>
    <w:qFormat/>
    <w:uiPriority w:val="99"/>
    <w:rPr>
      <w:rFonts w:ascii="Segoe UI" w:hAnsi="Segoe UI" w:cs="Segoe UI"/>
      <w:sz w:val="18"/>
      <w:szCs w:val="18"/>
    </w:rPr>
  </w:style>
  <w:style w:type="paragraph" w:customStyle="1" w:styleId="10">
    <w:name w:val="s_1"/>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1">
    <w:name w:val="List Paragraph"/>
    <w:basedOn w:val="1"/>
    <w:autoRedefine/>
    <w:qFormat/>
    <w:uiPriority w:val="34"/>
    <w:pPr>
      <w:ind w:left="720"/>
      <w:contextualSpacing/>
    </w:pPr>
  </w:style>
  <w:style w:type="character" w:customStyle="1" w:styleId="12">
    <w:name w:val="Основной текст Знак"/>
    <w:basedOn w:val="2"/>
    <w:link w:val="7"/>
    <w:uiPriority w:val="99"/>
    <w:rPr>
      <w:rFonts w:ascii="Times New Roman" w:hAnsi="Times New Roman" w:eastAsia="Times New Roman" w:cs="Times New Roman"/>
      <w:sz w:val="28"/>
      <w:szCs w:val="28"/>
    </w:rPr>
  </w:style>
  <w:style w:type="paragraph" w:styleId="13">
    <w:name w:val="No Spacing"/>
    <w:autoRedefine/>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13367</Words>
  <Characters>76192</Characters>
  <Lines>634</Lines>
  <Paragraphs>178</Paragraphs>
  <TotalTime>1</TotalTime>
  <ScaleCrop>false</ScaleCrop>
  <LinksUpToDate>false</LinksUpToDate>
  <CharactersWithSpaces>89381</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2024-03-26T11:03:00Z</dcterms:created>
  <dc:creator>Коваленко Елена Александровна</dc:creator>
  <cp:lastModifiedBy>User</cp:lastModifiedBy>
  <dcterms:modified xsi:type="dcterms:W3CDTF">2024-05-07T07:15:44Z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BD27CD0586A6493EA33CA77D9EB2F3AD_12</vt:lpwstr>
  </property>
</Properties>
</file>